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C583" w14:textId="61A81731" w:rsidR="007554E7" w:rsidRPr="007554E7" w:rsidRDefault="007554E7" w:rsidP="007554E7">
      <w:pPr>
        <w:pStyle w:val="Title"/>
      </w:pPr>
      <w:r>
        <w:t>Business case scenario 4: occupational therapist in housing support</w:t>
      </w:r>
    </w:p>
    <w:p w14:paraId="5DBB4022" w14:textId="1194963B" w:rsidR="007554E7" w:rsidRPr="007554E7" w:rsidRDefault="007554E7" w:rsidP="007554E7">
      <w:pPr>
        <w:pStyle w:val="Subtitle"/>
      </w:pPr>
      <w:r w:rsidRPr="007554E7">
        <w:t xml:space="preserve">Complex </w:t>
      </w:r>
      <w:r>
        <w:t>n</w:t>
      </w:r>
      <w:r w:rsidRPr="007554E7">
        <w:t xml:space="preserve">eeds, </w:t>
      </w:r>
      <w:r>
        <w:t>t</w:t>
      </w:r>
      <w:r w:rsidRPr="007554E7">
        <w:t xml:space="preserve">enancy </w:t>
      </w:r>
      <w:r>
        <w:t>s</w:t>
      </w:r>
      <w:r w:rsidRPr="007554E7">
        <w:t xml:space="preserve">ustainment, </w:t>
      </w:r>
      <w:r>
        <w:t>a</w:t>
      </w:r>
      <w:r w:rsidRPr="007554E7">
        <w:t xml:space="preserve">llocation </w:t>
      </w:r>
      <w:r>
        <w:t>and</w:t>
      </w:r>
      <w:r w:rsidRPr="007554E7">
        <w:t xml:space="preserve"> </w:t>
      </w:r>
      <w:r>
        <w:t>m</w:t>
      </w:r>
      <w:r w:rsidRPr="007554E7">
        <w:t>atching</w:t>
      </w:r>
    </w:p>
    <w:p w14:paraId="73983350" w14:textId="5B459108" w:rsidR="007554E7" w:rsidRPr="007554E7" w:rsidRDefault="007554E7" w:rsidP="007554E7">
      <w:pPr>
        <w:pStyle w:val="Heading1"/>
      </w:pPr>
      <w:r w:rsidRPr="007554E7">
        <w:t xml:space="preserve">1. Executive </w:t>
      </w:r>
      <w:r>
        <w:t>s</w:t>
      </w:r>
      <w:r w:rsidRPr="007554E7">
        <w:t>ummary</w:t>
      </w:r>
    </w:p>
    <w:p w14:paraId="30F57189" w14:textId="31DDA327" w:rsidR="007554E7" w:rsidRPr="007554E7" w:rsidRDefault="007554E7" w:rsidP="007554E7">
      <w:pPr>
        <w:rPr>
          <w:sz w:val="22"/>
          <w:szCs w:val="22"/>
        </w:rPr>
      </w:pPr>
      <w:r w:rsidRPr="007554E7">
        <w:rPr>
          <w:sz w:val="22"/>
          <w:szCs w:val="22"/>
        </w:rPr>
        <w:t xml:space="preserve">This proposal recommends employing an </w:t>
      </w:r>
      <w:r>
        <w:rPr>
          <w:sz w:val="22"/>
          <w:szCs w:val="22"/>
        </w:rPr>
        <w:t>o</w:t>
      </w:r>
      <w:r w:rsidRPr="007554E7">
        <w:rPr>
          <w:sz w:val="22"/>
          <w:szCs w:val="22"/>
        </w:rPr>
        <w:t xml:space="preserve">ccupational </w:t>
      </w:r>
      <w:r>
        <w:rPr>
          <w:sz w:val="22"/>
          <w:szCs w:val="22"/>
        </w:rPr>
        <w:t>t</w:t>
      </w:r>
      <w:r w:rsidRPr="007554E7">
        <w:rPr>
          <w:sz w:val="22"/>
          <w:szCs w:val="22"/>
        </w:rPr>
        <w:t xml:space="preserve">herapist </w:t>
      </w:r>
      <w:r>
        <w:rPr>
          <w:sz w:val="22"/>
          <w:szCs w:val="22"/>
        </w:rPr>
        <w:t xml:space="preserve">(OT) </w:t>
      </w:r>
      <w:r w:rsidRPr="007554E7">
        <w:rPr>
          <w:sz w:val="22"/>
          <w:szCs w:val="22"/>
        </w:rPr>
        <w:t xml:space="preserve">to support residents with complex health conditions to maintain their tenancies and ensure optimal </w:t>
      </w:r>
      <w:r>
        <w:rPr>
          <w:sz w:val="22"/>
          <w:szCs w:val="22"/>
        </w:rPr>
        <w:t xml:space="preserve">property </w:t>
      </w:r>
      <w:r w:rsidRPr="007554E7">
        <w:rPr>
          <w:sz w:val="22"/>
          <w:szCs w:val="22"/>
        </w:rPr>
        <w:t>matching during rehousing. The OT will work with housing management teams to prevent tenancy loss, support residents at risk, and make evidence-based allocation decisions for complex cases.</w:t>
      </w:r>
    </w:p>
    <w:p w14:paraId="531156C8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Investment:</w:t>
      </w:r>
      <w:r w:rsidRPr="007554E7">
        <w:rPr>
          <w:sz w:val="22"/>
          <w:szCs w:val="22"/>
        </w:rPr>
        <w:t xml:space="preserve"> [£X] annually (Band [X] OT + operational costs)</w:t>
      </w:r>
      <w:r w:rsidRPr="007554E7">
        <w:rPr>
          <w:sz w:val="22"/>
          <w:szCs w:val="22"/>
        </w:rPr>
        <w:br/>
      </w:r>
      <w:r w:rsidRPr="007554E7">
        <w:rPr>
          <w:b/>
          <w:bCs/>
          <w:sz w:val="22"/>
          <w:szCs w:val="22"/>
        </w:rPr>
        <w:t>Return:</w:t>
      </w:r>
      <w:r w:rsidRPr="007554E7">
        <w:rPr>
          <w:sz w:val="22"/>
          <w:szCs w:val="22"/>
        </w:rPr>
        <w:t xml:space="preserve"> [£X] annually through prevented evictions, reduced homelessness interventions, better allocation outcomes, and avoided residential care placements</w:t>
      </w:r>
      <w:r w:rsidRPr="007554E7">
        <w:rPr>
          <w:sz w:val="22"/>
          <w:szCs w:val="22"/>
        </w:rPr>
        <w:br/>
      </w:r>
      <w:r w:rsidRPr="007554E7">
        <w:rPr>
          <w:b/>
          <w:bCs/>
          <w:sz w:val="22"/>
          <w:szCs w:val="22"/>
        </w:rPr>
        <w:t>ROI:</w:t>
      </w:r>
      <w:r w:rsidRPr="007554E7">
        <w:rPr>
          <w:sz w:val="22"/>
          <w:szCs w:val="22"/>
        </w:rPr>
        <w:t xml:space="preserve"> [X:1] with payback period of [X months]</w:t>
      </w:r>
    </w:p>
    <w:p w14:paraId="5B3B1178" w14:textId="1C8024D3" w:rsidR="007554E7" w:rsidRPr="007554E7" w:rsidRDefault="007554E7" w:rsidP="007554E7">
      <w:pPr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 xml:space="preserve">Key </w:t>
      </w:r>
      <w:r>
        <w:rPr>
          <w:b/>
          <w:sz w:val="22"/>
          <w:szCs w:val="22"/>
        </w:rPr>
        <w:t>b</w:t>
      </w:r>
      <w:r w:rsidRPr="007554E7">
        <w:rPr>
          <w:b/>
          <w:sz w:val="22"/>
          <w:szCs w:val="22"/>
        </w:rPr>
        <w:t>enefits:</w:t>
      </w:r>
    </w:p>
    <w:p w14:paraId="041A0822" w14:textId="77777777" w:rsidR="007554E7" w:rsidRPr="007554E7" w:rsidRDefault="007554E7" w:rsidP="00BD73CE">
      <w:pPr>
        <w:pStyle w:val="BulletRCOT"/>
      </w:pPr>
      <w:r w:rsidRPr="007554E7">
        <w:t>Support [X] residents with complex needs to sustain tenancies</w:t>
      </w:r>
    </w:p>
    <w:p w14:paraId="75B6A42A" w14:textId="77777777" w:rsidR="007554E7" w:rsidRPr="007554E7" w:rsidRDefault="007554E7" w:rsidP="00BD73CE">
      <w:pPr>
        <w:pStyle w:val="BulletRCOT"/>
      </w:pPr>
      <w:r w:rsidRPr="007554E7">
        <w:t>Prevent [X] evictions due to health/disability factors (</w:t>
      </w:r>
      <w:proofErr w:type="spellStart"/>
      <w:r w:rsidRPr="007554E7">
        <w:t>avg</w:t>
      </w:r>
      <w:proofErr w:type="spellEnd"/>
      <w:r w:rsidRPr="007554E7">
        <w:t xml:space="preserve"> cost [£X] each)</w:t>
      </w:r>
    </w:p>
    <w:p w14:paraId="7AC4D8B7" w14:textId="77777777" w:rsidR="007554E7" w:rsidRPr="007554E7" w:rsidRDefault="007554E7" w:rsidP="00BD73CE">
      <w:pPr>
        <w:pStyle w:val="BulletRCOT"/>
      </w:pPr>
      <w:r w:rsidRPr="007554E7">
        <w:t>Reduce homelessness prevention interventions by [X%]</w:t>
      </w:r>
    </w:p>
    <w:p w14:paraId="6CBACF40" w14:textId="77777777" w:rsidR="007554E7" w:rsidRPr="007554E7" w:rsidRDefault="007554E7" w:rsidP="00BD73CE">
      <w:pPr>
        <w:pStyle w:val="BulletRCOT"/>
      </w:pPr>
      <w:r w:rsidRPr="007554E7">
        <w:t>Achieve [X%] first-time suitability rate in rehousing complex cases</w:t>
      </w:r>
    </w:p>
    <w:p w14:paraId="55ADC44F" w14:textId="77777777" w:rsidR="007554E7" w:rsidRPr="007554E7" w:rsidRDefault="007554E7" w:rsidP="00BD73CE">
      <w:pPr>
        <w:pStyle w:val="BulletRCOT"/>
      </w:pPr>
      <w:r w:rsidRPr="007554E7">
        <w:t>Delay/prevent [X] residential care placements (£[1,036]/week per person)</w:t>
      </w:r>
    </w:p>
    <w:p w14:paraId="0650E07F" w14:textId="77777777" w:rsidR="007554E7" w:rsidRPr="007554E7" w:rsidRDefault="007554E7" w:rsidP="00BD73CE">
      <w:pPr>
        <w:pStyle w:val="BulletRCOT"/>
      </w:pPr>
      <w:r w:rsidRPr="007554E7">
        <w:t>Enable [X] hospital discharges through appropriate rehousing</w:t>
      </w:r>
    </w:p>
    <w:p w14:paraId="67C11AC9" w14:textId="77777777" w:rsidR="007554E7" w:rsidRDefault="007554E7" w:rsidP="00BD73CE">
      <w:pPr>
        <w:pStyle w:val="BulletRCOT"/>
      </w:pPr>
      <w:r w:rsidRPr="007554E7">
        <w:t>Reduce neighbour complaints and anti-social behaviour cases by [X%]</w:t>
      </w:r>
    </w:p>
    <w:p w14:paraId="3C6CC444" w14:textId="77777777" w:rsidR="00BD73CE" w:rsidRPr="007554E7" w:rsidRDefault="00BD73CE" w:rsidP="00BD73CE">
      <w:pPr>
        <w:pStyle w:val="BulletRCOT"/>
        <w:numPr>
          <w:ilvl w:val="0"/>
          <w:numId w:val="0"/>
        </w:numPr>
      </w:pPr>
    </w:p>
    <w:p w14:paraId="762D8920" w14:textId="62848B10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Evidence:</w:t>
      </w:r>
      <w:r w:rsidRPr="007554E7">
        <w:rPr>
          <w:sz w:val="22"/>
          <w:szCs w:val="22"/>
        </w:rPr>
        <w:t xml:space="preserve"> Milton Keynes integrated model demonstrates impact. Nottinghamshire housing commissioner stated: “We would not be able to do the work we are aiming for without that occupational therapy input. It’s been really crucial.”</w:t>
      </w:r>
      <w:r w:rsidR="00BD73CE">
        <w:rPr>
          <w:sz w:val="22"/>
          <w:szCs w:val="22"/>
        </w:rPr>
        <w:t xml:space="preserve"> (RCOT 2026).</w:t>
      </w:r>
    </w:p>
    <w:p w14:paraId="4BF29758" w14:textId="1D9DB6E8" w:rsidR="007554E7" w:rsidRPr="007554E7" w:rsidRDefault="007554E7" w:rsidP="007554E7">
      <w:pPr>
        <w:pStyle w:val="Heading1"/>
      </w:pPr>
      <w:r w:rsidRPr="007554E7">
        <w:t>2. Background and</w:t>
      </w:r>
      <w:r>
        <w:t xml:space="preserve"> c</w:t>
      </w:r>
      <w:r w:rsidRPr="007554E7">
        <w:t>ontext</w:t>
      </w:r>
    </w:p>
    <w:p w14:paraId="34A4FB96" w14:textId="0B5B1C54" w:rsidR="007554E7" w:rsidRPr="007554E7" w:rsidRDefault="007554E7" w:rsidP="00BD73CE">
      <w:pPr>
        <w:pStyle w:val="Heading2"/>
      </w:pPr>
      <w:r w:rsidRPr="007554E7">
        <w:t xml:space="preserve">Current </w:t>
      </w:r>
      <w:r w:rsidR="00BD73CE">
        <w:t>c</w:t>
      </w:r>
      <w:r w:rsidRPr="007554E7">
        <w:t>hallenges:</w:t>
      </w:r>
    </w:p>
    <w:p w14:paraId="3854838F" w14:textId="5FD527D1" w:rsidR="007554E7" w:rsidRPr="00BD73CE" w:rsidRDefault="007554E7" w:rsidP="00BD73CE">
      <w:pPr>
        <w:spacing w:after="0"/>
        <w:rPr>
          <w:b/>
          <w:bCs/>
          <w:sz w:val="22"/>
          <w:szCs w:val="22"/>
        </w:rPr>
      </w:pPr>
      <w:r w:rsidRPr="00BD73CE">
        <w:rPr>
          <w:b/>
          <w:bCs/>
          <w:sz w:val="22"/>
          <w:szCs w:val="22"/>
        </w:rPr>
        <w:t xml:space="preserve">Tenancy </w:t>
      </w:r>
      <w:r w:rsidR="00BD73CE">
        <w:rPr>
          <w:b/>
          <w:bCs/>
          <w:sz w:val="22"/>
          <w:szCs w:val="22"/>
        </w:rPr>
        <w:t>s</w:t>
      </w:r>
      <w:r w:rsidRPr="00BD73CE">
        <w:rPr>
          <w:b/>
          <w:bCs/>
          <w:sz w:val="22"/>
          <w:szCs w:val="22"/>
        </w:rPr>
        <w:t>ustainment:</w:t>
      </w:r>
    </w:p>
    <w:p w14:paraId="1D47C52A" w14:textId="77777777" w:rsidR="007554E7" w:rsidRPr="007554E7" w:rsidRDefault="007554E7" w:rsidP="00BD73CE">
      <w:pPr>
        <w:pStyle w:val="BulletRCOT"/>
      </w:pPr>
      <w:r w:rsidRPr="007554E7">
        <w:t xml:space="preserve">[X] tenancies at risk annually due to health/disability factors including: </w:t>
      </w:r>
    </w:p>
    <w:p w14:paraId="6563A948" w14:textId="2E02FEAB" w:rsidR="007554E7" w:rsidRPr="007554E7" w:rsidRDefault="007554E7" w:rsidP="007A6A54">
      <w:pPr>
        <w:pStyle w:val="BulletRCOT"/>
        <w:numPr>
          <w:ilvl w:val="1"/>
          <w:numId w:val="6"/>
        </w:numPr>
      </w:pPr>
      <w:r w:rsidRPr="007554E7">
        <w:t xml:space="preserve">Hoarding </w:t>
      </w:r>
      <w:r w:rsidR="00BD73CE" w:rsidRPr="007554E7">
        <w:t>behaviours</w:t>
      </w:r>
      <w:r w:rsidRPr="007554E7">
        <w:t xml:space="preserve"> (fire safety, health hazards)</w:t>
      </w:r>
    </w:p>
    <w:p w14:paraId="3B6224DF" w14:textId="77777777" w:rsidR="007554E7" w:rsidRPr="007554E7" w:rsidRDefault="007554E7" w:rsidP="007A6A54">
      <w:pPr>
        <w:pStyle w:val="BulletRCOT"/>
        <w:numPr>
          <w:ilvl w:val="1"/>
          <w:numId w:val="6"/>
        </w:numPr>
      </w:pPr>
      <w:r w:rsidRPr="007554E7">
        <w:t>Mental health crises affecting property maintenance</w:t>
      </w:r>
    </w:p>
    <w:p w14:paraId="3F2D4033" w14:textId="77777777" w:rsidR="007554E7" w:rsidRPr="007554E7" w:rsidRDefault="007554E7" w:rsidP="007A6A54">
      <w:pPr>
        <w:pStyle w:val="BulletRCOT"/>
        <w:numPr>
          <w:ilvl w:val="1"/>
          <w:numId w:val="6"/>
        </w:numPr>
      </w:pPr>
      <w:r w:rsidRPr="007554E7">
        <w:t>Cognitive impairment (dementia, brain injury) affecting daily living</w:t>
      </w:r>
    </w:p>
    <w:p w14:paraId="4604BF6A" w14:textId="77777777" w:rsidR="007554E7" w:rsidRPr="007554E7" w:rsidRDefault="007554E7" w:rsidP="007A6A54">
      <w:pPr>
        <w:pStyle w:val="BulletRCOT"/>
        <w:numPr>
          <w:ilvl w:val="1"/>
          <w:numId w:val="6"/>
        </w:numPr>
      </w:pPr>
      <w:r w:rsidRPr="007554E7">
        <w:t>Physical health deterioration affecting ability to manage home</w:t>
      </w:r>
    </w:p>
    <w:p w14:paraId="3F302C03" w14:textId="77777777" w:rsidR="007554E7" w:rsidRPr="007554E7" w:rsidRDefault="007554E7" w:rsidP="007A6A54">
      <w:pPr>
        <w:pStyle w:val="BulletRCOT"/>
        <w:numPr>
          <w:ilvl w:val="1"/>
          <w:numId w:val="6"/>
        </w:numPr>
      </w:pPr>
      <w:r w:rsidRPr="007554E7">
        <w:t>Substance use affecting tenancy management</w:t>
      </w:r>
    </w:p>
    <w:p w14:paraId="36153526" w14:textId="77777777" w:rsidR="007554E7" w:rsidRPr="007554E7" w:rsidRDefault="007554E7" w:rsidP="00BD73CE">
      <w:pPr>
        <w:pStyle w:val="BulletRCOT"/>
      </w:pPr>
      <w:r w:rsidRPr="007554E7">
        <w:t>Housing officers lack expertise to assess health/disability factors</w:t>
      </w:r>
    </w:p>
    <w:p w14:paraId="66A4C646" w14:textId="77777777" w:rsidR="007554E7" w:rsidRPr="007554E7" w:rsidRDefault="007554E7" w:rsidP="00BD73CE">
      <w:pPr>
        <w:pStyle w:val="BulletRCOT"/>
      </w:pPr>
      <w:r w:rsidRPr="007554E7">
        <w:t>Enforcement action (warnings, eviction) without understanding underlying causes</w:t>
      </w:r>
    </w:p>
    <w:p w14:paraId="5A57529B" w14:textId="77777777" w:rsidR="007554E7" w:rsidRPr="007554E7" w:rsidRDefault="007554E7" w:rsidP="00BD73CE">
      <w:pPr>
        <w:pStyle w:val="BulletRCOT"/>
      </w:pPr>
      <w:r w:rsidRPr="007554E7">
        <w:t>[X] evictions annually where health/disability was contributing factor</w:t>
      </w:r>
    </w:p>
    <w:p w14:paraId="6308E2B7" w14:textId="77777777" w:rsidR="007554E7" w:rsidRDefault="007554E7" w:rsidP="00BD73CE">
      <w:pPr>
        <w:pStyle w:val="BulletRCOT"/>
      </w:pPr>
      <w:r w:rsidRPr="007554E7">
        <w:t>[£X] annual cost of evictions and homelessness interventions</w:t>
      </w:r>
    </w:p>
    <w:p w14:paraId="06712D00" w14:textId="77777777" w:rsidR="00BD73CE" w:rsidRPr="007554E7" w:rsidRDefault="00BD73CE" w:rsidP="00BD73CE">
      <w:pPr>
        <w:pStyle w:val="BulletRCOT"/>
        <w:numPr>
          <w:ilvl w:val="0"/>
          <w:numId w:val="0"/>
        </w:numPr>
      </w:pPr>
    </w:p>
    <w:p w14:paraId="66EE8196" w14:textId="5885F961" w:rsidR="007554E7" w:rsidRPr="00BD73CE" w:rsidRDefault="007554E7" w:rsidP="00BD73CE">
      <w:pPr>
        <w:spacing w:after="0"/>
        <w:rPr>
          <w:b/>
          <w:bCs/>
          <w:sz w:val="22"/>
          <w:szCs w:val="22"/>
        </w:rPr>
      </w:pPr>
      <w:r w:rsidRPr="00BD73CE">
        <w:rPr>
          <w:b/>
          <w:bCs/>
          <w:sz w:val="22"/>
          <w:szCs w:val="22"/>
        </w:rPr>
        <w:lastRenderedPageBreak/>
        <w:t xml:space="preserve">Complex </w:t>
      </w:r>
      <w:r w:rsidR="00BD73CE">
        <w:rPr>
          <w:b/>
          <w:bCs/>
          <w:sz w:val="22"/>
          <w:szCs w:val="22"/>
        </w:rPr>
        <w:t>r</w:t>
      </w:r>
      <w:r w:rsidRPr="00BD73CE">
        <w:rPr>
          <w:b/>
          <w:bCs/>
          <w:sz w:val="22"/>
          <w:szCs w:val="22"/>
        </w:rPr>
        <w:t xml:space="preserve">ehousing </w:t>
      </w:r>
      <w:r w:rsidR="00BD73CE">
        <w:rPr>
          <w:b/>
          <w:bCs/>
          <w:sz w:val="22"/>
          <w:szCs w:val="22"/>
        </w:rPr>
        <w:t>and</w:t>
      </w:r>
      <w:r w:rsidRPr="00BD73CE">
        <w:rPr>
          <w:b/>
          <w:bCs/>
          <w:sz w:val="22"/>
          <w:szCs w:val="22"/>
        </w:rPr>
        <w:t xml:space="preserve"> </w:t>
      </w:r>
      <w:r w:rsidR="00BD73CE">
        <w:rPr>
          <w:b/>
          <w:bCs/>
          <w:sz w:val="22"/>
          <w:szCs w:val="22"/>
        </w:rPr>
        <w:t>property a</w:t>
      </w:r>
      <w:r w:rsidRPr="00BD73CE">
        <w:rPr>
          <w:b/>
          <w:bCs/>
          <w:sz w:val="22"/>
          <w:szCs w:val="22"/>
        </w:rPr>
        <w:t>llocation:</w:t>
      </w:r>
    </w:p>
    <w:p w14:paraId="66EE420A" w14:textId="77777777" w:rsidR="007554E7" w:rsidRPr="007554E7" w:rsidRDefault="007554E7" w:rsidP="00BD73CE">
      <w:pPr>
        <w:pStyle w:val="BulletRCOT"/>
      </w:pPr>
      <w:r w:rsidRPr="007554E7">
        <w:t>Medical priority applications based on diagnosis not functional need</w:t>
      </w:r>
    </w:p>
    <w:p w14:paraId="5D685EB6" w14:textId="77777777" w:rsidR="007554E7" w:rsidRPr="007554E7" w:rsidRDefault="007554E7" w:rsidP="00BD73CE">
      <w:pPr>
        <w:pStyle w:val="BulletRCOT"/>
      </w:pPr>
      <w:r w:rsidRPr="007554E7">
        <w:t>Residents with complex needs allocated to unsuitable properties</w:t>
      </w:r>
    </w:p>
    <w:p w14:paraId="0806473C" w14:textId="77777777" w:rsidR="007554E7" w:rsidRPr="007554E7" w:rsidRDefault="007554E7" w:rsidP="00BD73CE">
      <w:pPr>
        <w:pStyle w:val="BulletRCOT"/>
      </w:pPr>
      <w:r w:rsidRPr="007554E7">
        <w:t>[X%] of complex rehousing cases require modification after move</w:t>
      </w:r>
    </w:p>
    <w:p w14:paraId="73E77779" w14:textId="77777777" w:rsidR="007554E7" w:rsidRPr="007554E7" w:rsidRDefault="007554E7" w:rsidP="00BD73CE">
      <w:pPr>
        <w:pStyle w:val="BulletRCOT"/>
      </w:pPr>
      <w:r w:rsidRPr="007554E7">
        <w:t>Poor matching leads to: failed tenancies, rehousing requests, complaints</w:t>
      </w:r>
    </w:p>
    <w:p w14:paraId="11DF6362" w14:textId="38EBA2D1" w:rsidR="007554E7" w:rsidRPr="007554E7" w:rsidRDefault="007554E7" w:rsidP="00BD73CE">
      <w:pPr>
        <w:pStyle w:val="BulletRCOT"/>
      </w:pPr>
      <w:r w:rsidRPr="007554E7">
        <w:t xml:space="preserve">Extended waits in unsuitable/crisis situations while seeking </w:t>
      </w:r>
      <w:r w:rsidR="00BD73CE">
        <w:t>‘</w:t>
      </w:r>
      <w:r w:rsidRPr="007554E7">
        <w:t>perfect</w:t>
      </w:r>
      <w:r w:rsidR="00BD73CE">
        <w:t>’</w:t>
      </w:r>
      <w:r w:rsidRPr="007554E7">
        <w:t xml:space="preserve"> property</w:t>
      </w:r>
    </w:p>
    <w:p w14:paraId="41F454FB" w14:textId="77777777" w:rsidR="007554E7" w:rsidRDefault="007554E7" w:rsidP="00BD73CE">
      <w:pPr>
        <w:pStyle w:val="BulletRCOT"/>
      </w:pPr>
      <w:r w:rsidRPr="007554E7">
        <w:t>Lack of professional assessment of environmental needs</w:t>
      </w:r>
    </w:p>
    <w:p w14:paraId="0F8452BF" w14:textId="77777777" w:rsidR="00BD73CE" w:rsidRPr="007554E7" w:rsidRDefault="00BD73CE" w:rsidP="00BD73CE">
      <w:pPr>
        <w:pStyle w:val="BulletRCOT"/>
        <w:numPr>
          <w:ilvl w:val="0"/>
          <w:numId w:val="0"/>
        </w:numPr>
      </w:pPr>
    </w:p>
    <w:p w14:paraId="556D0BBB" w14:textId="34F5D619" w:rsidR="007554E7" w:rsidRPr="00BD73CE" w:rsidRDefault="007554E7" w:rsidP="00BD73CE">
      <w:pPr>
        <w:spacing w:after="0"/>
        <w:rPr>
          <w:b/>
          <w:bCs/>
          <w:sz w:val="22"/>
          <w:szCs w:val="22"/>
        </w:rPr>
      </w:pPr>
      <w:r w:rsidRPr="00BD73CE">
        <w:rPr>
          <w:b/>
          <w:bCs/>
          <w:sz w:val="22"/>
          <w:szCs w:val="22"/>
        </w:rPr>
        <w:t xml:space="preserve">Fire </w:t>
      </w:r>
      <w:r w:rsidR="00BD73CE">
        <w:rPr>
          <w:b/>
          <w:bCs/>
          <w:sz w:val="22"/>
          <w:szCs w:val="22"/>
        </w:rPr>
        <w:t>s</w:t>
      </w:r>
      <w:r w:rsidRPr="00BD73CE">
        <w:rPr>
          <w:b/>
          <w:bCs/>
          <w:sz w:val="22"/>
          <w:szCs w:val="22"/>
        </w:rPr>
        <w:t xml:space="preserve">afety </w:t>
      </w:r>
      <w:r w:rsidR="00BD73CE">
        <w:rPr>
          <w:b/>
          <w:bCs/>
          <w:sz w:val="22"/>
          <w:szCs w:val="22"/>
        </w:rPr>
        <w:t>and</w:t>
      </w:r>
      <w:r w:rsidRPr="00BD73CE">
        <w:rPr>
          <w:b/>
          <w:bCs/>
          <w:sz w:val="22"/>
          <w:szCs w:val="22"/>
        </w:rPr>
        <w:t xml:space="preserve"> </w:t>
      </w:r>
      <w:r w:rsidR="00BD73CE">
        <w:rPr>
          <w:b/>
          <w:bCs/>
          <w:sz w:val="22"/>
          <w:szCs w:val="22"/>
        </w:rPr>
        <w:t>s</w:t>
      </w:r>
      <w:r w:rsidRPr="00BD73CE">
        <w:rPr>
          <w:b/>
          <w:bCs/>
          <w:sz w:val="22"/>
          <w:szCs w:val="22"/>
        </w:rPr>
        <w:t>afeguarding:</w:t>
      </w:r>
    </w:p>
    <w:p w14:paraId="5367EA03" w14:textId="77777777" w:rsidR="007554E7" w:rsidRPr="007554E7" w:rsidRDefault="007554E7" w:rsidP="00BD73CE">
      <w:pPr>
        <w:pStyle w:val="BulletRCOT"/>
      </w:pPr>
      <w:r w:rsidRPr="007554E7">
        <w:t>Residents unable to self-evacuate in emergency</w:t>
      </w:r>
    </w:p>
    <w:p w14:paraId="54895034" w14:textId="77777777" w:rsidR="007554E7" w:rsidRPr="007554E7" w:rsidRDefault="007554E7" w:rsidP="00BD73CE">
      <w:pPr>
        <w:pStyle w:val="BulletRCOT"/>
      </w:pPr>
      <w:r w:rsidRPr="007554E7">
        <w:t>Hoarding creating fire hazards and blocking escape routes</w:t>
      </w:r>
    </w:p>
    <w:p w14:paraId="32D6AFEF" w14:textId="77777777" w:rsidR="007554E7" w:rsidRPr="007554E7" w:rsidRDefault="007554E7" w:rsidP="00BD73CE">
      <w:pPr>
        <w:pStyle w:val="BulletRCOT"/>
      </w:pPr>
      <w:r w:rsidRPr="007554E7">
        <w:t>Vulnerability to exploitation, abuse, self-neglect</w:t>
      </w:r>
    </w:p>
    <w:p w14:paraId="712843E1" w14:textId="77777777" w:rsidR="007554E7" w:rsidRDefault="007554E7" w:rsidP="00BD73CE">
      <w:pPr>
        <w:pStyle w:val="BulletRCOT"/>
      </w:pPr>
      <w:r w:rsidRPr="007554E7">
        <w:t>Housing officers identifying concerns but unsure how to intervene appropriately</w:t>
      </w:r>
    </w:p>
    <w:p w14:paraId="549B0018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30C109B2" w14:textId="64140775" w:rsidR="007554E7" w:rsidRPr="007554E7" w:rsidRDefault="007554E7" w:rsidP="00877E6C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 xml:space="preserve">Drivers for </w:t>
      </w:r>
      <w:r w:rsidR="00877E6C">
        <w:rPr>
          <w:b/>
          <w:sz w:val="22"/>
          <w:szCs w:val="22"/>
        </w:rPr>
        <w:t>c</w:t>
      </w:r>
      <w:r w:rsidRPr="007554E7">
        <w:rPr>
          <w:b/>
          <w:sz w:val="22"/>
          <w:szCs w:val="22"/>
        </w:rPr>
        <w:t>hange:</w:t>
      </w:r>
    </w:p>
    <w:p w14:paraId="789DCE59" w14:textId="77777777" w:rsidR="007554E7" w:rsidRPr="007554E7" w:rsidRDefault="007554E7" w:rsidP="00877E6C">
      <w:pPr>
        <w:pStyle w:val="BulletRCOT"/>
      </w:pPr>
      <w:r w:rsidRPr="007554E7">
        <w:t>Homelessness Reduction Act requiring prevention work</w:t>
      </w:r>
    </w:p>
    <w:p w14:paraId="5902209F" w14:textId="77777777" w:rsidR="007554E7" w:rsidRPr="007554E7" w:rsidRDefault="007554E7" w:rsidP="00877E6C">
      <w:pPr>
        <w:pStyle w:val="BulletRCOT"/>
      </w:pPr>
      <w:r w:rsidRPr="007554E7">
        <w:t>Social Housing Regulation emphasising tenant safety and satisfaction</w:t>
      </w:r>
    </w:p>
    <w:p w14:paraId="41AA4A01" w14:textId="77777777" w:rsidR="007554E7" w:rsidRPr="007554E7" w:rsidRDefault="007554E7" w:rsidP="00877E6C">
      <w:pPr>
        <w:pStyle w:val="BulletRCOT"/>
      </w:pPr>
      <w:r w:rsidRPr="007554E7">
        <w:t>Building Safety Act and fire safety duties</w:t>
      </w:r>
    </w:p>
    <w:p w14:paraId="3CE5E4D3" w14:textId="77777777" w:rsidR="007554E7" w:rsidRPr="007554E7" w:rsidRDefault="007554E7" w:rsidP="00877E6C">
      <w:pPr>
        <w:pStyle w:val="BulletRCOT"/>
      </w:pPr>
      <w:r w:rsidRPr="007554E7">
        <w:t>Safeguarding responsibilities</w:t>
      </w:r>
    </w:p>
    <w:p w14:paraId="5A885209" w14:textId="77777777" w:rsidR="007554E7" w:rsidRPr="007554E7" w:rsidRDefault="007554E7" w:rsidP="00877E6C">
      <w:pPr>
        <w:pStyle w:val="BulletRCOT"/>
      </w:pPr>
      <w:r w:rsidRPr="007554E7">
        <w:t>Best Value duty to prevent costly evictions</w:t>
      </w:r>
    </w:p>
    <w:p w14:paraId="3AC005E0" w14:textId="77777777" w:rsidR="007554E7" w:rsidRDefault="007554E7" w:rsidP="00877E6C">
      <w:pPr>
        <w:pStyle w:val="BulletRCOT"/>
      </w:pPr>
      <w:r w:rsidRPr="007554E7">
        <w:t>Equality Act reasonable adjustments obligations</w:t>
      </w:r>
    </w:p>
    <w:p w14:paraId="48C22555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73AE3DB6" w14:textId="0A44920A" w:rsidR="007554E7" w:rsidRPr="007554E7" w:rsidRDefault="007554E7" w:rsidP="00877E6C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 xml:space="preserve">Target </w:t>
      </w:r>
      <w:r w:rsidR="00877E6C">
        <w:rPr>
          <w:b/>
          <w:sz w:val="22"/>
          <w:szCs w:val="22"/>
        </w:rPr>
        <w:t>p</w:t>
      </w:r>
      <w:r w:rsidRPr="007554E7">
        <w:rPr>
          <w:b/>
          <w:sz w:val="22"/>
          <w:szCs w:val="22"/>
        </w:rPr>
        <w:t>opulation:</w:t>
      </w:r>
    </w:p>
    <w:p w14:paraId="7E825910" w14:textId="77777777" w:rsidR="007554E7" w:rsidRPr="007554E7" w:rsidRDefault="007554E7" w:rsidP="00877E6C">
      <w:pPr>
        <w:pStyle w:val="BulletRCOT"/>
      </w:pPr>
      <w:r w:rsidRPr="007554E7">
        <w:t>[X] residents with complex needs at risk of tenancy loss</w:t>
      </w:r>
    </w:p>
    <w:p w14:paraId="699FB505" w14:textId="77777777" w:rsidR="007554E7" w:rsidRPr="007554E7" w:rsidRDefault="007554E7" w:rsidP="00877E6C">
      <w:pPr>
        <w:pStyle w:val="BulletRCOT"/>
      </w:pPr>
      <w:r w:rsidRPr="007554E7">
        <w:t>[X] annual rehousing applications with health/disability factors</w:t>
      </w:r>
    </w:p>
    <w:p w14:paraId="2EF0648C" w14:textId="30E5BC3B" w:rsidR="007554E7" w:rsidRDefault="007554E7" w:rsidP="00877E6C">
      <w:pPr>
        <w:pStyle w:val="BulletRCOT"/>
      </w:pPr>
      <w:r w:rsidRPr="007554E7">
        <w:t>Residents with: mental health conditions, hoarding, dementia, learning disabilities, neurodi</w:t>
      </w:r>
      <w:r w:rsidR="00877E6C">
        <w:t>vergence</w:t>
      </w:r>
      <w:r w:rsidRPr="007554E7">
        <w:t>, progressive physical conditions, substance use affecting tenancy</w:t>
      </w:r>
    </w:p>
    <w:p w14:paraId="6E76B795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574E1FA2" w14:textId="4FE48D80" w:rsidR="007554E7" w:rsidRPr="007554E7" w:rsidRDefault="007554E7" w:rsidP="007554E7">
      <w:pPr>
        <w:pStyle w:val="Heading1"/>
      </w:pPr>
      <w:r w:rsidRPr="007554E7">
        <w:t xml:space="preserve">3. Rationale for OT </w:t>
      </w:r>
      <w:r>
        <w:t>i</w:t>
      </w:r>
      <w:r w:rsidRPr="007554E7">
        <w:t>nvolvement</w:t>
      </w:r>
    </w:p>
    <w:p w14:paraId="6B205C58" w14:textId="08D717F8" w:rsidR="007554E7" w:rsidRPr="007554E7" w:rsidRDefault="007554E7" w:rsidP="00877E6C">
      <w:pPr>
        <w:pStyle w:val="Heading2"/>
      </w:pPr>
      <w:r w:rsidRPr="007554E7">
        <w:t xml:space="preserve">What OTs </w:t>
      </w:r>
      <w:r w:rsidR="00877E6C">
        <w:t>b</w:t>
      </w:r>
      <w:r w:rsidRPr="007554E7">
        <w:t xml:space="preserve">ring to </w:t>
      </w:r>
      <w:r w:rsidR="00877E6C">
        <w:t>h</w:t>
      </w:r>
      <w:r w:rsidRPr="007554E7">
        <w:t xml:space="preserve">ousing </w:t>
      </w:r>
      <w:r w:rsidR="00877E6C">
        <w:t>s</w:t>
      </w:r>
      <w:r w:rsidRPr="007554E7">
        <w:t>upport</w:t>
      </w:r>
    </w:p>
    <w:p w14:paraId="53839BA5" w14:textId="77777777" w:rsidR="007554E7" w:rsidRPr="007554E7" w:rsidRDefault="007554E7" w:rsidP="00877E6C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>OTs uniquely understand the relationship between a person’s abilities, their environment, and their capacity to manage daily activities including tenancy responsibilities. They assess:</w:t>
      </w:r>
    </w:p>
    <w:p w14:paraId="7AF6F68F" w14:textId="4DF576B0" w:rsidR="007554E7" w:rsidRPr="007554E7" w:rsidRDefault="007554E7" w:rsidP="00877E6C">
      <w:pPr>
        <w:pStyle w:val="BulletRCOT"/>
      </w:pPr>
      <w:r w:rsidRPr="007554E7">
        <w:t>Whether resident</w:t>
      </w:r>
      <w:r w:rsidR="00877E6C">
        <w:t>s</w:t>
      </w:r>
      <w:r w:rsidRPr="007554E7">
        <w:t xml:space="preserve"> can manage daily living tasks in current property</w:t>
      </w:r>
    </w:p>
    <w:p w14:paraId="6F5DC22F" w14:textId="053CDFE0" w:rsidR="007554E7" w:rsidRPr="007554E7" w:rsidRDefault="00877E6C" w:rsidP="00877E6C">
      <w:pPr>
        <w:pStyle w:val="BulletRCOT"/>
      </w:pPr>
      <w:r>
        <w:t xml:space="preserve">Needs related to </w:t>
      </w:r>
      <w:r w:rsidR="007554E7" w:rsidRPr="007554E7">
        <w:t>underlying functional/cognitive issues</w:t>
      </w:r>
    </w:p>
    <w:p w14:paraId="7AEF7730" w14:textId="77777777" w:rsidR="007554E7" w:rsidRPr="007554E7" w:rsidRDefault="007554E7" w:rsidP="00877E6C">
      <w:pPr>
        <w:pStyle w:val="BulletRCOT"/>
      </w:pPr>
      <w:r w:rsidRPr="007554E7">
        <w:t>What environmental modifications or support would enable tenancy sustainment</w:t>
      </w:r>
    </w:p>
    <w:p w14:paraId="4FBC5EDA" w14:textId="77777777" w:rsidR="007554E7" w:rsidRPr="007554E7" w:rsidRDefault="007554E7" w:rsidP="00877E6C">
      <w:pPr>
        <w:pStyle w:val="BulletRCOT"/>
      </w:pPr>
      <w:r w:rsidRPr="007554E7">
        <w:t>Which properties would be genuinely suitable for complex needs</w:t>
      </w:r>
    </w:p>
    <w:p w14:paraId="088FB920" w14:textId="77777777" w:rsidR="007554E7" w:rsidRDefault="007554E7" w:rsidP="00877E6C">
      <w:pPr>
        <w:pStyle w:val="BulletRCOT"/>
      </w:pPr>
      <w:r w:rsidRPr="007554E7">
        <w:t>What reasonable adjustments are required under Equality Act</w:t>
      </w:r>
    </w:p>
    <w:p w14:paraId="44DBE663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0CBDB1A2" w14:textId="77777777" w:rsidR="007554E7" w:rsidRPr="007554E7" w:rsidRDefault="007554E7" w:rsidP="00877E6C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>OTs provide:</w:t>
      </w:r>
    </w:p>
    <w:p w14:paraId="64543F62" w14:textId="69AEEB3E" w:rsidR="007554E7" w:rsidRPr="00877E6C" w:rsidRDefault="007554E7" w:rsidP="00877E6C">
      <w:pPr>
        <w:pStyle w:val="BulletRCOT"/>
      </w:pPr>
      <w:r w:rsidRPr="00877E6C">
        <w:t xml:space="preserve">Functional </w:t>
      </w:r>
      <w:r w:rsidR="00877E6C" w:rsidRPr="00877E6C">
        <w:t>a</w:t>
      </w:r>
      <w:r w:rsidRPr="00877E6C">
        <w:t xml:space="preserve">ssessment: Understanding </w:t>
      </w:r>
      <w:r w:rsidR="00877E6C" w:rsidRPr="00877E6C">
        <w:t>barriers to occupations, including tenancy management</w:t>
      </w:r>
    </w:p>
    <w:p w14:paraId="0F1080E6" w14:textId="684D6A57" w:rsidR="007554E7" w:rsidRPr="00877E6C" w:rsidRDefault="007554E7" w:rsidP="00877E6C">
      <w:pPr>
        <w:pStyle w:val="BulletRCOT"/>
      </w:pPr>
      <w:r w:rsidRPr="00877E6C">
        <w:t xml:space="preserve">Environmental </w:t>
      </w:r>
      <w:r w:rsidR="00877E6C" w:rsidRPr="00877E6C">
        <w:t>a</w:t>
      </w:r>
      <w:r w:rsidRPr="00877E6C">
        <w:t>nalysis: How the home</w:t>
      </w:r>
      <w:r w:rsidR="00877E6C" w:rsidRPr="00877E6C">
        <w:t xml:space="preserve"> enables or prevents people from living well</w:t>
      </w:r>
    </w:p>
    <w:p w14:paraId="072DB96C" w14:textId="056806B9" w:rsidR="007554E7" w:rsidRPr="00877E6C" w:rsidRDefault="007554E7" w:rsidP="00877E6C">
      <w:pPr>
        <w:pStyle w:val="BulletRCOT"/>
      </w:pPr>
      <w:r w:rsidRPr="00877E6C">
        <w:t>Solution-</w:t>
      </w:r>
      <w:r w:rsidR="00877E6C" w:rsidRPr="00877E6C">
        <w:t>f</w:t>
      </w:r>
      <w:r w:rsidRPr="00877E6C">
        <w:t xml:space="preserve">ocused </w:t>
      </w:r>
      <w:r w:rsidR="00877E6C" w:rsidRPr="00877E6C">
        <w:t>a</w:t>
      </w:r>
      <w:r w:rsidRPr="00877E6C">
        <w:t>pproach: Practical interventions to resolve issues</w:t>
      </w:r>
    </w:p>
    <w:p w14:paraId="002F0AC0" w14:textId="794A849D" w:rsidR="007554E7" w:rsidRPr="00877E6C" w:rsidRDefault="007554E7" w:rsidP="00877E6C">
      <w:pPr>
        <w:pStyle w:val="BulletRCOT"/>
      </w:pPr>
      <w:r w:rsidRPr="00877E6C">
        <w:t>Person-</w:t>
      </w:r>
      <w:r w:rsidR="00877E6C" w:rsidRPr="00877E6C">
        <w:t>c</w:t>
      </w:r>
      <w:r w:rsidRPr="00877E6C">
        <w:t xml:space="preserve">entred </w:t>
      </w:r>
      <w:r w:rsidR="00877E6C" w:rsidRPr="00877E6C">
        <w:t>p</w:t>
      </w:r>
      <w:r w:rsidRPr="00877E6C">
        <w:t>lanning: Solutions that work for the individual</w:t>
      </w:r>
    </w:p>
    <w:p w14:paraId="27BC292A" w14:textId="3F9EC3F4" w:rsidR="007554E7" w:rsidRPr="00877E6C" w:rsidRDefault="007554E7" w:rsidP="00877E6C">
      <w:pPr>
        <w:pStyle w:val="BulletRCOT"/>
      </w:pPr>
      <w:r w:rsidRPr="00877E6C">
        <w:t xml:space="preserve">Professional </w:t>
      </w:r>
      <w:r w:rsidR="00877E6C" w:rsidRPr="00877E6C">
        <w:t>e</w:t>
      </w:r>
      <w:r w:rsidRPr="00877E6C">
        <w:t xml:space="preserve">vidence: </w:t>
      </w:r>
      <w:r w:rsidR="00877E6C" w:rsidRPr="00877E6C">
        <w:t>Clinically-reasoned</w:t>
      </w:r>
      <w:r w:rsidRPr="00877E6C">
        <w:t xml:space="preserve"> recommendations for legal/management decisions</w:t>
      </w:r>
    </w:p>
    <w:p w14:paraId="7883F9B0" w14:textId="677DE01A" w:rsidR="007554E7" w:rsidRDefault="007554E7" w:rsidP="00877E6C">
      <w:pPr>
        <w:pStyle w:val="BulletRCOT"/>
      </w:pPr>
      <w:r w:rsidRPr="00877E6C">
        <w:t>Multi-</w:t>
      </w:r>
      <w:r w:rsidR="00877E6C" w:rsidRPr="00877E6C">
        <w:t>a</w:t>
      </w:r>
      <w:r w:rsidRPr="00877E6C">
        <w:t xml:space="preserve">gency </w:t>
      </w:r>
      <w:r w:rsidR="00877E6C" w:rsidRPr="00877E6C">
        <w:t>c</w:t>
      </w:r>
      <w:r w:rsidRPr="00877E6C">
        <w:t>oordination: Link</w:t>
      </w:r>
      <w:r w:rsidR="00877E6C" w:rsidRPr="00877E6C">
        <w:t xml:space="preserve"> between</w:t>
      </w:r>
      <w:r w:rsidRPr="00877E6C">
        <w:t xml:space="preserve"> health, housing, social care</w:t>
      </w:r>
    </w:p>
    <w:p w14:paraId="169D5072" w14:textId="77777777" w:rsidR="00877E6C" w:rsidRPr="00877E6C" w:rsidRDefault="00877E6C" w:rsidP="00877E6C">
      <w:pPr>
        <w:pStyle w:val="BulletRCOT"/>
        <w:numPr>
          <w:ilvl w:val="0"/>
          <w:numId w:val="0"/>
        </w:numPr>
      </w:pPr>
    </w:p>
    <w:p w14:paraId="7A0EBD76" w14:textId="3585AC7B" w:rsidR="007554E7" w:rsidRPr="007554E7" w:rsidRDefault="007554E7" w:rsidP="00877E6C">
      <w:pPr>
        <w:pStyle w:val="Heading2"/>
      </w:pPr>
      <w:r w:rsidRPr="007554E7">
        <w:lastRenderedPageBreak/>
        <w:t>Benefits</w:t>
      </w:r>
    </w:p>
    <w:p w14:paraId="228740B2" w14:textId="2C2DCBC7" w:rsidR="007554E7" w:rsidRPr="00877E6C" w:rsidRDefault="007554E7" w:rsidP="00877E6C">
      <w:pPr>
        <w:spacing w:after="0"/>
        <w:rPr>
          <w:b/>
          <w:bCs/>
          <w:sz w:val="22"/>
          <w:szCs w:val="22"/>
        </w:rPr>
      </w:pPr>
      <w:r w:rsidRPr="00877E6C">
        <w:rPr>
          <w:b/>
          <w:bCs/>
          <w:sz w:val="22"/>
          <w:szCs w:val="22"/>
        </w:rPr>
        <w:t xml:space="preserve">Tenancy </w:t>
      </w:r>
      <w:r w:rsidR="00877E6C">
        <w:rPr>
          <w:b/>
          <w:bCs/>
          <w:sz w:val="22"/>
          <w:szCs w:val="22"/>
        </w:rPr>
        <w:t>s</w:t>
      </w:r>
      <w:r w:rsidRPr="00877E6C">
        <w:rPr>
          <w:b/>
          <w:bCs/>
          <w:sz w:val="22"/>
          <w:szCs w:val="22"/>
        </w:rPr>
        <w:t>ustainment:</w:t>
      </w:r>
    </w:p>
    <w:p w14:paraId="39C9A4A3" w14:textId="77777777" w:rsidR="007554E7" w:rsidRPr="007554E7" w:rsidRDefault="007554E7" w:rsidP="00877E6C">
      <w:pPr>
        <w:pStyle w:val="BulletRCOT"/>
      </w:pPr>
      <w:r w:rsidRPr="007554E7">
        <w:t>Prevent evictions: Save [£X] per case (legal costs, rehousing, temporary accommodation)</w:t>
      </w:r>
    </w:p>
    <w:p w14:paraId="07BDCEFF" w14:textId="77777777" w:rsidR="007554E7" w:rsidRPr="007554E7" w:rsidRDefault="007554E7" w:rsidP="00877E6C">
      <w:pPr>
        <w:pStyle w:val="BulletRCOT"/>
      </w:pPr>
      <w:r w:rsidRPr="007554E7">
        <w:t>Enable residents to remain in homes with appropriate support/modifications</w:t>
      </w:r>
    </w:p>
    <w:p w14:paraId="17BAAE95" w14:textId="35CF19E4" w:rsidR="007554E7" w:rsidRPr="007554E7" w:rsidRDefault="007554E7" w:rsidP="00877E6C">
      <w:pPr>
        <w:pStyle w:val="BulletRCOT"/>
      </w:pPr>
      <w:r w:rsidRPr="007554E7">
        <w:t>Reduce complaints through understanding</w:t>
      </w:r>
      <w:r w:rsidR="00877E6C">
        <w:t xml:space="preserve"> and addressing</w:t>
      </w:r>
      <w:r w:rsidRPr="007554E7">
        <w:t xml:space="preserve"> root causes</w:t>
      </w:r>
    </w:p>
    <w:p w14:paraId="6FC84877" w14:textId="77777777" w:rsidR="007554E7" w:rsidRPr="007554E7" w:rsidRDefault="007554E7" w:rsidP="00877E6C">
      <w:pPr>
        <w:pStyle w:val="BulletRCOT"/>
      </w:pPr>
      <w:r w:rsidRPr="007554E7">
        <w:t>Protect vulnerable residents while addressing legitimate concerns</w:t>
      </w:r>
    </w:p>
    <w:p w14:paraId="7191023A" w14:textId="77777777" w:rsidR="007554E7" w:rsidRDefault="007554E7" w:rsidP="00877E6C">
      <w:pPr>
        <w:pStyle w:val="BulletRCOT"/>
      </w:pPr>
      <w:r w:rsidRPr="007554E7">
        <w:t>Demonstrate reasonable adjustments under Equality Act</w:t>
      </w:r>
    </w:p>
    <w:p w14:paraId="4180CB31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630F54CB" w14:textId="78F34F4F" w:rsidR="007554E7" w:rsidRPr="00877E6C" w:rsidRDefault="007554E7" w:rsidP="00877E6C">
      <w:pPr>
        <w:spacing w:after="0"/>
        <w:rPr>
          <w:b/>
          <w:bCs/>
          <w:sz w:val="22"/>
          <w:szCs w:val="22"/>
        </w:rPr>
      </w:pPr>
      <w:r w:rsidRPr="00877E6C">
        <w:rPr>
          <w:b/>
          <w:bCs/>
          <w:sz w:val="22"/>
          <w:szCs w:val="22"/>
        </w:rPr>
        <w:t xml:space="preserve">Better </w:t>
      </w:r>
      <w:r w:rsidR="00877E6C">
        <w:rPr>
          <w:b/>
          <w:bCs/>
          <w:sz w:val="22"/>
          <w:szCs w:val="22"/>
        </w:rPr>
        <w:t>r</w:t>
      </w:r>
      <w:r w:rsidRPr="00877E6C">
        <w:rPr>
          <w:b/>
          <w:bCs/>
          <w:sz w:val="22"/>
          <w:szCs w:val="22"/>
        </w:rPr>
        <w:t xml:space="preserve">ehousing </w:t>
      </w:r>
      <w:r w:rsidR="00877E6C">
        <w:rPr>
          <w:b/>
          <w:bCs/>
          <w:sz w:val="22"/>
          <w:szCs w:val="22"/>
        </w:rPr>
        <w:t>o</w:t>
      </w:r>
      <w:r w:rsidRPr="00877E6C">
        <w:rPr>
          <w:b/>
          <w:bCs/>
          <w:sz w:val="22"/>
          <w:szCs w:val="22"/>
        </w:rPr>
        <w:t>utcomes:</w:t>
      </w:r>
    </w:p>
    <w:p w14:paraId="5E34D4F9" w14:textId="77777777" w:rsidR="007554E7" w:rsidRPr="007554E7" w:rsidRDefault="007554E7" w:rsidP="00877E6C">
      <w:pPr>
        <w:pStyle w:val="BulletRCOT"/>
      </w:pPr>
      <w:r w:rsidRPr="007554E7">
        <w:t>Evidence-based allocation decisions based on functional assessment</w:t>
      </w:r>
    </w:p>
    <w:p w14:paraId="2BDB3D82" w14:textId="77777777" w:rsidR="007554E7" w:rsidRPr="007554E7" w:rsidRDefault="007554E7" w:rsidP="00877E6C">
      <w:pPr>
        <w:pStyle w:val="BulletRCOT"/>
      </w:pPr>
      <w:r w:rsidRPr="007554E7">
        <w:t>First-time suitability preventing costly rehousing cycles</w:t>
      </w:r>
    </w:p>
    <w:p w14:paraId="14D37108" w14:textId="77777777" w:rsidR="007554E7" w:rsidRPr="007554E7" w:rsidRDefault="007554E7" w:rsidP="00877E6C">
      <w:pPr>
        <w:pStyle w:val="BulletRCOT"/>
      </w:pPr>
      <w:r w:rsidRPr="007554E7">
        <w:t>Faster moves for urgent cases with professional assessment</w:t>
      </w:r>
    </w:p>
    <w:p w14:paraId="0EA3FA5B" w14:textId="77777777" w:rsidR="007554E7" w:rsidRPr="007554E7" w:rsidRDefault="007554E7" w:rsidP="00877E6C">
      <w:pPr>
        <w:pStyle w:val="BulletRCOT"/>
      </w:pPr>
      <w:r w:rsidRPr="007554E7">
        <w:t>Appropriate matching preventing tenancy breakdown</w:t>
      </w:r>
    </w:p>
    <w:p w14:paraId="43C81C3F" w14:textId="77777777" w:rsidR="007554E7" w:rsidRDefault="007554E7" w:rsidP="00877E6C">
      <w:pPr>
        <w:pStyle w:val="BulletRCOT"/>
      </w:pPr>
      <w:r w:rsidRPr="007554E7">
        <w:t>Reduced modification costs through better initial allocation</w:t>
      </w:r>
    </w:p>
    <w:p w14:paraId="63521162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6EF076A6" w14:textId="6E0A5310" w:rsidR="007554E7" w:rsidRPr="00877E6C" w:rsidRDefault="007554E7" w:rsidP="00877E6C">
      <w:pPr>
        <w:spacing w:after="0"/>
        <w:rPr>
          <w:b/>
          <w:bCs/>
          <w:sz w:val="22"/>
          <w:szCs w:val="22"/>
        </w:rPr>
      </w:pPr>
      <w:r w:rsidRPr="00877E6C">
        <w:rPr>
          <w:b/>
          <w:bCs/>
          <w:sz w:val="22"/>
          <w:szCs w:val="22"/>
        </w:rPr>
        <w:t xml:space="preserve">Health </w:t>
      </w:r>
      <w:r w:rsidR="00877E6C">
        <w:rPr>
          <w:b/>
          <w:bCs/>
          <w:sz w:val="22"/>
          <w:szCs w:val="22"/>
        </w:rPr>
        <w:t>and w</w:t>
      </w:r>
      <w:r w:rsidRPr="00877E6C">
        <w:rPr>
          <w:b/>
          <w:bCs/>
          <w:sz w:val="22"/>
          <w:szCs w:val="22"/>
        </w:rPr>
        <w:t>ellbeing:</w:t>
      </w:r>
    </w:p>
    <w:p w14:paraId="1A04AF60" w14:textId="77777777" w:rsidR="007554E7" w:rsidRPr="007554E7" w:rsidRDefault="007554E7" w:rsidP="00877E6C">
      <w:pPr>
        <w:pStyle w:val="BulletRCOT"/>
      </w:pPr>
      <w:r w:rsidRPr="007554E7">
        <w:t>Maintained housing stability supporting health outcomes</w:t>
      </w:r>
    </w:p>
    <w:p w14:paraId="40C8AD19" w14:textId="77777777" w:rsidR="007554E7" w:rsidRPr="007554E7" w:rsidRDefault="007554E7" w:rsidP="00877E6C">
      <w:pPr>
        <w:pStyle w:val="BulletRCOT"/>
      </w:pPr>
      <w:r w:rsidRPr="007554E7">
        <w:t>Delayed/prevented residential care through enabling independent living</w:t>
      </w:r>
    </w:p>
    <w:p w14:paraId="6DA56CE6" w14:textId="77777777" w:rsidR="007554E7" w:rsidRPr="007554E7" w:rsidRDefault="007554E7" w:rsidP="00877E6C">
      <w:pPr>
        <w:pStyle w:val="BulletRCOT"/>
      </w:pPr>
      <w:r w:rsidRPr="007554E7">
        <w:t>Facilitated hospital discharge through suitable rehousing</w:t>
      </w:r>
    </w:p>
    <w:p w14:paraId="7E4FA511" w14:textId="77777777" w:rsidR="007554E7" w:rsidRDefault="007554E7" w:rsidP="00877E6C">
      <w:pPr>
        <w:pStyle w:val="BulletRCOT"/>
      </w:pPr>
      <w:r w:rsidRPr="007554E7">
        <w:t>Safeguarding through appropriate intervention and support</w:t>
      </w:r>
    </w:p>
    <w:p w14:paraId="5BD25C6E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507C8492" w14:textId="77777777" w:rsidR="007554E7" w:rsidRPr="00877E6C" w:rsidRDefault="007554E7" w:rsidP="00877E6C">
      <w:pPr>
        <w:spacing w:after="0"/>
        <w:rPr>
          <w:b/>
          <w:bCs/>
          <w:sz w:val="22"/>
          <w:szCs w:val="22"/>
        </w:rPr>
      </w:pPr>
      <w:r w:rsidRPr="00877E6C">
        <w:rPr>
          <w:b/>
          <w:bCs/>
          <w:sz w:val="22"/>
          <w:szCs w:val="22"/>
        </w:rPr>
        <w:t>Organisational:</w:t>
      </w:r>
    </w:p>
    <w:p w14:paraId="53F6B792" w14:textId="77777777" w:rsidR="007554E7" w:rsidRPr="007554E7" w:rsidRDefault="007554E7" w:rsidP="00877E6C">
      <w:pPr>
        <w:pStyle w:val="BulletRCOT"/>
      </w:pPr>
      <w:r w:rsidRPr="007554E7">
        <w:t>Housing officers feel supported managing complex cases</w:t>
      </w:r>
    </w:p>
    <w:p w14:paraId="3AED3069" w14:textId="77777777" w:rsidR="007554E7" w:rsidRPr="007554E7" w:rsidRDefault="007554E7" w:rsidP="00877E6C">
      <w:pPr>
        <w:pStyle w:val="BulletRCOT"/>
      </w:pPr>
      <w:r w:rsidRPr="007554E7">
        <w:t>Clear, defensible decision-making</w:t>
      </w:r>
    </w:p>
    <w:p w14:paraId="3866F3DA" w14:textId="77777777" w:rsidR="007554E7" w:rsidRPr="007554E7" w:rsidRDefault="007554E7" w:rsidP="00877E6C">
      <w:pPr>
        <w:pStyle w:val="BulletRCOT"/>
      </w:pPr>
      <w:r w:rsidRPr="007554E7">
        <w:t>Reduced complaints and legal challenges</w:t>
      </w:r>
    </w:p>
    <w:p w14:paraId="60A5C584" w14:textId="77777777" w:rsidR="007554E7" w:rsidRPr="007554E7" w:rsidRDefault="007554E7" w:rsidP="00877E6C">
      <w:pPr>
        <w:pStyle w:val="BulletRCOT"/>
      </w:pPr>
      <w:r w:rsidRPr="007554E7">
        <w:t>Improved multi-agency relationships</w:t>
      </w:r>
    </w:p>
    <w:p w14:paraId="52973231" w14:textId="77777777" w:rsidR="007554E7" w:rsidRDefault="007554E7" w:rsidP="00877E6C">
      <w:pPr>
        <w:pStyle w:val="BulletRCOT"/>
      </w:pPr>
      <w:r w:rsidRPr="007554E7">
        <w:t>Enhanced reputation for supporting vulnerable residents</w:t>
      </w:r>
    </w:p>
    <w:p w14:paraId="34C11E96" w14:textId="77777777" w:rsidR="00877E6C" w:rsidRPr="007554E7" w:rsidRDefault="00877E6C" w:rsidP="00877E6C">
      <w:pPr>
        <w:pStyle w:val="BulletRCOT"/>
        <w:numPr>
          <w:ilvl w:val="0"/>
          <w:numId w:val="0"/>
        </w:numPr>
      </w:pPr>
    </w:p>
    <w:p w14:paraId="0D6D6875" w14:textId="560BC2A0" w:rsidR="007554E7" w:rsidRPr="007554E7" w:rsidRDefault="007554E7" w:rsidP="007554E7">
      <w:pPr>
        <w:pStyle w:val="Heading1"/>
      </w:pPr>
      <w:r w:rsidRPr="007554E7">
        <w:t xml:space="preserve">4. Proposed </w:t>
      </w:r>
      <w:r>
        <w:t>s</w:t>
      </w:r>
      <w:r w:rsidRPr="007554E7">
        <w:t>olution</w:t>
      </w:r>
    </w:p>
    <w:p w14:paraId="394CFE23" w14:textId="00423DF1" w:rsidR="007554E7" w:rsidRPr="007554E7" w:rsidRDefault="007554E7" w:rsidP="00877E6C">
      <w:pPr>
        <w:pStyle w:val="Heading2"/>
      </w:pPr>
      <w:r w:rsidRPr="007554E7">
        <w:t xml:space="preserve">Scope of </w:t>
      </w:r>
      <w:r w:rsidR="00877E6C">
        <w:t>w</w:t>
      </w:r>
      <w:r w:rsidRPr="007554E7">
        <w:t>ork</w:t>
      </w:r>
    </w:p>
    <w:p w14:paraId="59BE4FF1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sz w:val="22"/>
          <w:szCs w:val="22"/>
        </w:rPr>
        <w:t>The Housing Support OT will allocate time approximately:</w:t>
      </w:r>
    </w:p>
    <w:p w14:paraId="750DB879" w14:textId="7B309EF1" w:rsidR="007554E7" w:rsidRPr="00877E6C" w:rsidRDefault="007554E7" w:rsidP="00877E6C">
      <w:pPr>
        <w:pStyle w:val="BulletRCOT"/>
      </w:pPr>
      <w:r w:rsidRPr="00877E6C">
        <w:t xml:space="preserve">50% - Tenancy </w:t>
      </w:r>
      <w:r w:rsidR="00596AF2">
        <w:t>s</w:t>
      </w:r>
      <w:r w:rsidRPr="00877E6C">
        <w:t>ustainment: Supporting at-risk residents, problem-solving, interventions</w:t>
      </w:r>
    </w:p>
    <w:p w14:paraId="2A6AF7B0" w14:textId="206C9925" w:rsidR="007554E7" w:rsidRPr="00877E6C" w:rsidRDefault="007554E7" w:rsidP="00877E6C">
      <w:pPr>
        <w:pStyle w:val="BulletRCOT"/>
      </w:pPr>
      <w:r w:rsidRPr="00877E6C">
        <w:t xml:space="preserve">30% - Complex </w:t>
      </w:r>
      <w:r w:rsidR="00596AF2">
        <w:t>r</w:t>
      </w:r>
      <w:r w:rsidRPr="00877E6C">
        <w:t xml:space="preserve">ehousing </w:t>
      </w:r>
      <w:r w:rsidR="00596AF2">
        <w:t>and</w:t>
      </w:r>
      <w:r w:rsidRPr="00877E6C">
        <w:t xml:space="preserve"> </w:t>
      </w:r>
      <w:r w:rsidR="00596AF2">
        <w:t>a</w:t>
      </w:r>
      <w:r w:rsidRPr="00877E6C">
        <w:t>llocation: Functional assessment, property matching, allocation advice</w:t>
      </w:r>
    </w:p>
    <w:p w14:paraId="64ACECFB" w14:textId="2DE00FDB" w:rsidR="007554E7" w:rsidRPr="00877E6C" w:rsidRDefault="007554E7" w:rsidP="00877E6C">
      <w:pPr>
        <w:pStyle w:val="BulletRCOT"/>
      </w:pPr>
      <w:r w:rsidRPr="00877E6C">
        <w:t>15% - Multi-</w:t>
      </w:r>
      <w:r w:rsidR="00596AF2">
        <w:t>a</w:t>
      </w:r>
      <w:r w:rsidRPr="00877E6C">
        <w:t xml:space="preserve">gency </w:t>
      </w:r>
      <w:r w:rsidR="00596AF2">
        <w:t>w</w:t>
      </w:r>
      <w:r w:rsidRPr="00877E6C">
        <w:t>orking: Coordination with health, social care, safeguarding</w:t>
      </w:r>
    </w:p>
    <w:p w14:paraId="590C556A" w14:textId="66B7C6C8" w:rsidR="007554E7" w:rsidRDefault="007554E7" w:rsidP="00877E6C">
      <w:pPr>
        <w:pStyle w:val="BulletRCOT"/>
      </w:pPr>
      <w:r w:rsidRPr="00877E6C">
        <w:t xml:space="preserve">5% - Training </w:t>
      </w:r>
      <w:r w:rsidR="00596AF2">
        <w:t>and d</w:t>
      </w:r>
      <w:r w:rsidRPr="00877E6C">
        <w:t>evelopment: Building housing officer capability</w:t>
      </w:r>
    </w:p>
    <w:p w14:paraId="66B6873D" w14:textId="77777777" w:rsidR="00596AF2" w:rsidRPr="00877E6C" w:rsidRDefault="00596AF2" w:rsidP="00596AF2">
      <w:pPr>
        <w:pStyle w:val="BulletRCOT"/>
        <w:numPr>
          <w:ilvl w:val="0"/>
          <w:numId w:val="0"/>
        </w:numPr>
      </w:pPr>
    </w:p>
    <w:p w14:paraId="4935A37E" w14:textId="74677460" w:rsidR="007554E7" w:rsidRPr="007554E7" w:rsidRDefault="007554E7" w:rsidP="00596AF2">
      <w:pPr>
        <w:pStyle w:val="Heading2"/>
      </w:pPr>
      <w:r w:rsidRPr="007554E7">
        <w:t xml:space="preserve">Core </w:t>
      </w:r>
      <w:r w:rsidR="00596AF2">
        <w:t>a</w:t>
      </w:r>
      <w:r w:rsidRPr="007554E7">
        <w:t>ctivities</w:t>
      </w:r>
    </w:p>
    <w:p w14:paraId="29CDE667" w14:textId="13E300C5" w:rsidR="007554E7" w:rsidRPr="00596AF2" w:rsidRDefault="007554E7" w:rsidP="00596AF2">
      <w:pPr>
        <w:spacing w:after="0"/>
        <w:rPr>
          <w:b/>
          <w:bCs/>
          <w:sz w:val="22"/>
          <w:szCs w:val="22"/>
        </w:rPr>
      </w:pPr>
      <w:r w:rsidRPr="00596AF2">
        <w:rPr>
          <w:b/>
          <w:bCs/>
          <w:sz w:val="22"/>
          <w:szCs w:val="22"/>
        </w:rPr>
        <w:t xml:space="preserve">Tenancy </w:t>
      </w:r>
      <w:r w:rsidR="00596AF2">
        <w:rPr>
          <w:b/>
          <w:bCs/>
          <w:sz w:val="22"/>
          <w:szCs w:val="22"/>
        </w:rPr>
        <w:t>s</w:t>
      </w:r>
      <w:r w:rsidRPr="00596AF2">
        <w:rPr>
          <w:b/>
          <w:bCs/>
          <w:sz w:val="22"/>
          <w:szCs w:val="22"/>
        </w:rPr>
        <w:t>ustainment</w:t>
      </w:r>
    </w:p>
    <w:p w14:paraId="5B0CB7C9" w14:textId="777958BA" w:rsidR="007554E7" w:rsidRPr="007554E7" w:rsidRDefault="007554E7" w:rsidP="00596AF2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Hoarding </w:t>
      </w:r>
      <w:r w:rsidR="00596AF2">
        <w:rPr>
          <w:sz w:val="22"/>
          <w:szCs w:val="22"/>
        </w:rPr>
        <w:t>s</w:t>
      </w:r>
      <w:r w:rsidRPr="007554E7">
        <w:rPr>
          <w:sz w:val="22"/>
          <w:szCs w:val="22"/>
        </w:rPr>
        <w:t>upport:</w:t>
      </w:r>
    </w:p>
    <w:p w14:paraId="11F386F8" w14:textId="77777777" w:rsidR="007554E7" w:rsidRPr="007554E7" w:rsidRDefault="007554E7" w:rsidP="00596AF2">
      <w:pPr>
        <w:pStyle w:val="BulletRCOT"/>
      </w:pPr>
      <w:r w:rsidRPr="007554E7">
        <w:t>Functional assessment of underlying causes (cognitive, mental health, physical)</w:t>
      </w:r>
    </w:p>
    <w:p w14:paraId="468D8F9E" w14:textId="77777777" w:rsidR="007554E7" w:rsidRPr="007554E7" w:rsidRDefault="007554E7" w:rsidP="00596AF2">
      <w:pPr>
        <w:pStyle w:val="BulletRCOT"/>
      </w:pPr>
      <w:r w:rsidRPr="007554E7">
        <w:t>Risk assessment (fire, health, structural)</w:t>
      </w:r>
    </w:p>
    <w:p w14:paraId="3FCB6ABA" w14:textId="77777777" w:rsidR="007554E7" w:rsidRPr="007554E7" w:rsidRDefault="007554E7" w:rsidP="00596AF2">
      <w:pPr>
        <w:pStyle w:val="BulletRCOT"/>
      </w:pPr>
      <w:r w:rsidRPr="007554E7">
        <w:t>Develop intervention plans balancing safety and resident’s needs</w:t>
      </w:r>
    </w:p>
    <w:p w14:paraId="79CA4299" w14:textId="77777777" w:rsidR="007554E7" w:rsidRPr="007554E7" w:rsidRDefault="007554E7" w:rsidP="00596AF2">
      <w:pPr>
        <w:pStyle w:val="BulletRCOT"/>
      </w:pPr>
      <w:r w:rsidRPr="007554E7">
        <w:t>Coordinate decluttering support</w:t>
      </w:r>
    </w:p>
    <w:p w14:paraId="5F69F066" w14:textId="77777777" w:rsidR="007554E7" w:rsidRPr="007554E7" w:rsidRDefault="007554E7" w:rsidP="00596AF2">
      <w:pPr>
        <w:pStyle w:val="BulletRCOT"/>
      </w:pPr>
      <w:r w:rsidRPr="007554E7">
        <w:lastRenderedPageBreak/>
        <w:t>Environmental modifications to support management</w:t>
      </w:r>
    </w:p>
    <w:p w14:paraId="7E386CF7" w14:textId="77777777" w:rsidR="007554E7" w:rsidRDefault="007554E7" w:rsidP="00596AF2">
      <w:pPr>
        <w:pStyle w:val="BulletRCOT"/>
      </w:pPr>
      <w:r w:rsidRPr="007554E7">
        <w:t>Ongoing monitoring and review</w:t>
      </w:r>
    </w:p>
    <w:p w14:paraId="10DDCB34" w14:textId="77777777" w:rsidR="00596AF2" w:rsidRPr="007554E7" w:rsidRDefault="00596AF2" w:rsidP="00596AF2">
      <w:pPr>
        <w:pStyle w:val="BulletRCOT"/>
        <w:numPr>
          <w:ilvl w:val="0"/>
          <w:numId w:val="0"/>
        </w:numPr>
      </w:pPr>
    </w:p>
    <w:p w14:paraId="55B93FDB" w14:textId="07053B25" w:rsidR="007554E7" w:rsidRPr="007554E7" w:rsidRDefault="007554E7" w:rsidP="00596AF2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Mental </w:t>
      </w:r>
      <w:r w:rsidR="00596AF2">
        <w:rPr>
          <w:sz w:val="22"/>
          <w:szCs w:val="22"/>
        </w:rPr>
        <w:t>h</w:t>
      </w:r>
      <w:r w:rsidRPr="007554E7">
        <w:rPr>
          <w:sz w:val="22"/>
          <w:szCs w:val="22"/>
        </w:rPr>
        <w:t xml:space="preserve">ealth </w:t>
      </w:r>
      <w:r w:rsidR="00596AF2">
        <w:rPr>
          <w:sz w:val="22"/>
          <w:szCs w:val="22"/>
        </w:rPr>
        <w:t>s</w:t>
      </w:r>
      <w:r w:rsidRPr="007554E7">
        <w:rPr>
          <w:sz w:val="22"/>
          <w:szCs w:val="22"/>
        </w:rPr>
        <w:t>upport:</w:t>
      </w:r>
    </w:p>
    <w:p w14:paraId="3ED3A5C7" w14:textId="4F8542AE" w:rsidR="007554E7" w:rsidRPr="007554E7" w:rsidRDefault="007554E7" w:rsidP="00596AF2">
      <w:pPr>
        <w:pStyle w:val="BulletRCOT"/>
      </w:pPr>
      <w:r w:rsidRPr="007554E7">
        <w:t>Assess impact of mental health on tenancy management</w:t>
      </w:r>
    </w:p>
    <w:p w14:paraId="588B8860" w14:textId="77777777" w:rsidR="007554E7" w:rsidRPr="007554E7" w:rsidRDefault="007554E7" w:rsidP="00596AF2">
      <w:pPr>
        <w:pStyle w:val="BulletRCOT"/>
      </w:pPr>
      <w:r w:rsidRPr="007554E7">
        <w:t>Identify environmental modifications that would help</w:t>
      </w:r>
    </w:p>
    <w:p w14:paraId="7BFBB6D8" w14:textId="77777777" w:rsidR="007554E7" w:rsidRPr="007554E7" w:rsidRDefault="007554E7" w:rsidP="00596AF2">
      <w:pPr>
        <w:pStyle w:val="BulletRCOT"/>
      </w:pPr>
      <w:r w:rsidRPr="007554E7">
        <w:t>Recommend support packages</w:t>
      </w:r>
    </w:p>
    <w:p w14:paraId="02A272DC" w14:textId="77777777" w:rsidR="007554E7" w:rsidRPr="007554E7" w:rsidRDefault="007554E7" w:rsidP="00596AF2">
      <w:pPr>
        <w:pStyle w:val="BulletRCOT"/>
      </w:pPr>
      <w:r w:rsidRPr="007554E7">
        <w:t>Liaise with mental health services</w:t>
      </w:r>
    </w:p>
    <w:p w14:paraId="2D1D1519" w14:textId="77777777" w:rsidR="007554E7" w:rsidRDefault="007554E7" w:rsidP="00596AF2">
      <w:pPr>
        <w:pStyle w:val="BulletRCOT"/>
      </w:pPr>
      <w:r w:rsidRPr="007554E7">
        <w:t>Crisis intervention and planning</w:t>
      </w:r>
    </w:p>
    <w:p w14:paraId="087220D2" w14:textId="77777777" w:rsidR="00596AF2" w:rsidRPr="007554E7" w:rsidRDefault="00596AF2" w:rsidP="00596AF2">
      <w:pPr>
        <w:pStyle w:val="BulletRCOT"/>
        <w:numPr>
          <w:ilvl w:val="0"/>
          <w:numId w:val="0"/>
        </w:numPr>
      </w:pPr>
    </w:p>
    <w:p w14:paraId="4FBF3C3F" w14:textId="3F1AF569" w:rsidR="007554E7" w:rsidRPr="007554E7" w:rsidRDefault="007554E7" w:rsidP="00596AF2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Cognitive </w:t>
      </w:r>
      <w:r w:rsidR="00596AF2">
        <w:rPr>
          <w:sz w:val="22"/>
          <w:szCs w:val="22"/>
        </w:rPr>
        <w:t>i</w:t>
      </w:r>
      <w:r w:rsidRPr="007554E7">
        <w:rPr>
          <w:sz w:val="22"/>
          <w:szCs w:val="22"/>
        </w:rPr>
        <w:t xml:space="preserve">mpairment </w:t>
      </w:r>
      <w:r w:rsidR="00596AF2">
        <w:rPr>
          <w:sz w:val="22"/>
          <w:szCs w:val="22"/>
        </w:rPr>
        <w:t>s</w:t>
      </w:r>
      <w:r w:rsidRPr="007554E7">
        <w:rPr>
          <w:sz w:val="22"/>
          <w:szCs w:val="22"/>
        </w:rPr>
        <w:t>upport:</w:t>
      </w:r>
    </w:p>
    <w:p w14:paraId="76771766" w14:textId="7B73A8BC" w:rsidR="007554E7" w:rsidRPr="007554E7" w:rsidRDefault="007554E7" w:rsidP="00596AF2">
      <w:pPr>
        <w:pStyle w:val="BulletRCOT"/>
      </w:pPr>
      <w:r w:rsidRPr="007554E7">
        <w:t xml:space="preserve">Assess </w:t>
      </w:r>
      <w:r w:rsidR="00596AF2">
        <w:t>ability</w:t>
      </w:r>
      <w:r w:rsidRPr="007554E7">
        <w:t xml:space="preserve"> to manage tenancy independently</w:t>
      </w:r>
    </w:p>
    <w:p w14:paraId="51C98E14" w14:textId="77777777" w:rsidR="007554E7" w:rsidRPr="007554E7" w:rsidRDefault="007554E7" w:rsidP="00596AF2">
      <w:pPr>
        <w:pStyle w:val="BulletRCOT"/>
      </w:pPr>
      <w:r w:rsidRPr="007554E7">
        <w:t>Identify practical strategies and modifications</w:t>
      </w:r>
    </w:p>
    <w:p w14:paraId="3C5C7001" w14:textId="77777777" w:rsidR="007554E7" w:rsidRPr="007554E7" w:rsidRDefault="007554E7" w:rsidP="00596AF2">
      <w:pPr>
        <w:pStyle w:val="BulletRCOT"/>
      </w:pPr>
      <w:r w:rsidRPr="007554E7">
        <w:t>Recommend appropriate support</w:t>
      </w:r>
    </w:p>
    <w:p w14:paraId="4141AEEE" w14:textId="77777777" w:rsidR="007554E7" w:rsidRPr="007554E7" w:rsidRDefault="007554E7" w:rsidP="00596AF2">
      <w:pPr>
        <w:pStyle w:val="BulletRCOT"/>
      </w:pPr>
      <w:r w:rsidRPr="007554E7">
        <w:t>Plan for progression of condition</w:t>
      </w:r>
    </w:p>
    <w:p w14:paraId="0FE0AEC4" w14:textId="77777777" w:rsidR="007554E7" w:rsidRDefault="007554E7" w:rsidP="00596AF2">
      <w:pPr>
        <w:pStyle w:val="BulletRCOT"/>
      </w:pPr>
      <w:r w:rsidRPr="007554E7">
        <w:t>Safeguarding where appropriate</w:t>
      </w:r>
    </w:p>
    <w:p w14:paraId="3C155F76" w14:textId="77777777" w:rsidR="00596AF2" w:rsidRPr="007554E7" w:rsidRDefault="00596AF2" w:rsidP="00596AF2">
      <w:pPr>
        <w:pStyle w:val="BulletRCOT"/>
        <w:numPr>
          <w:ilvl w:val="0"/>
          <w:numId w:val="0"/>
        </w:numPr>
      </w:pPr>
    </w:p>
    <w:p w14:paraId="399D4190" w14:textId="15761B0A" w:rsidR="007554E7" w:rsidRPr="007554E7" w:rsidRDefault="007554E7" w:rsidP="00596AF2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Physical </w:t>
      </w:r>
      <w:r w:rsidR="00596AF2">
        <w:rPr>
          <w:sz w:val="22"/>
          <w:szCs w:val="22"/>
        </w:rPr>
        <w:t>h</w:t>
      </w:r>
      <w:r w:rsidRPr="007554E7">
        <w:rPr>
          <w:sz w:val="22"/>
          <w:szCs w:val="22"/>
        </w:rPr>
        <w:t xml:space="preserve">ealth </w:t>
      </w:r>
      <w:r w:rsidR="00596AF2">
        <w:rPr>
          <w:sz w:val="22"/>
          <w:szCs w:val="22"/>
        </w:rPr>
        <w:t>c</w:t>
      </w:r>
      <w:r w:rsidRPr="007554E7">
        <w:rPr>
          <w:sz w:val="22"/>
          <w:szCs w:val="22"/>
        </w:rPr>
        <w:t>hallenges:</w:t>
      </w:r>
    </w:p>
    <w:p w14:paraId="60E8F92B" w14:textId="5FE051A0" w:rsidR="007554E7" w:rsidRPr="007554E7" w:rsidRDefault="007554E7" w:rsidP="00596AF2">
      <w:pPr>
        <w:pStyle w:val="BulletRCOT"/>
      </w:pPr>
      <w:r w:rsidRPr="007554E7">
        <w:t xml:space="preserve">Assess </w:t>
      </w:r>
      <w:r w:rsidR="00596AF2">
        <w:t xml:space="preserve">barriers to </w:t>
      </w:r>
      <w:r w:rsidRPr="007554E7">
        <w:t>property</w:t>
      </w:r>
      <w:r w:rsidR="00596AF2">
        <w:t xml:space="preserve"> management</w:t>
      </w:r>
    </w:p>
    <w:p w14:paraId="64ABC7E0" w14:textId="56864865" w:rsidR="007554E7" w:rsidRPr="007554E7" w:rsidRDefault="00596AF2" w:rsidP="00596AF2">
      <w:pPr>
        <w:pStyle w:val="BulletRCOT"/>
      </w:pPr>
      <w:r>
        <w:t>Advise on the relative benefits of adaptations and rehousing</w:t>
      </w:r>
    </w:p>
    <w:p w14:paraId="2D1FD3BD" w14:textId="77777777" w:rsidR="007554E7" w:rsidRPr="007554E7" w:rsidRDefault="007554E7" w:rsidP="00596AF2">
      <w:pPr>
        <w:pStyle w:val="BulletRCOT"/>
      </w:pPr>
      <w:r w:rsidRPr="007554E7">
        <w:t>Support applications for aids/equipment</w:t>
      </w:r>
    </w:p>
    <w:p w14:paraId="390ABAB3" w14:textId="77777777" w:rsidR="007554E7" w:rsidRDefault="007554E7" w:rsidP="00596AF2">
      <w:pPr>
        <w:pStyle w:val="BulletRCOT"/>
      </w:pPr>
      <w:r w:rsidRPr="007554E7">
        <w:t>Coordinate with health services</w:t>
      </w:r>
    </w:p>
    <w:p w14:paraId="6D7F3FB5" w14:textId="77777777" w:rsidR="00596AF2" w:rsidRPr="007554E7" w:rsidRDefault="00596AF2" w:rsidP="00596AF2">
      <w:pPr>
        <w:pStyle w:val="BulletRCOT"/>
        <w:numPr>
          <w:ilvl w:val="0"/>
          <w:numId w:val="0"/>
        </w:numPr>
        <w:ind w:left="357"/>
      </w:pPr>
    </w:p>
    <w:p w14:paraId="6BA931FA" w14:textId="7C7BDD0B" w:rsidR="007554E7" w:rsidRPr="007554E7" w:rsidRDefault="007554E7" w:rsidP="00596AF2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Fire </w:t>
      </w:r>
      <w:r w:rsidR="00596AF2">
        <w:rPr>
          <w:sz w:val="22"/>
          <w:szCs w:val="22"/>
        </w:rPr>
        <w:t>s</w:t>
      </w:r>
      <w:r w:rsidRPr="007554E7">
        <w:rPr>
          <w:sz w:val="22"/>
          <w:szCs w:val="22"/>
        </w:rPr>
        <w:t xml:space="preserve">afety </w:t>
      </w:r>
      <w:r w:rsidR="00596AF2">
        <w:rPr>
          <w:sz w:val="22"/>
          <w:szCs w:val="22"/>
        </w:rPr>
        <w:t>and</w:t>
      </w:r>
      <w:r w:rsidRPr="007554E7">
        <w:rPr>
          <w:sz w:val="22"/>
          <w:szCs w:val="22"/>
        </w:rPr>
        <w:t xml:space="preserve"> </w:t>
      </w:r>
      <w:r w:rsidR="00596AF2">
        <w:rPr>
          <w:sz w:val="22"/>
          <w:szCs w:val="22"/>
        </w:rPr>
        <w:t>s</w:t>
      </w:r>
      <w:r w:rsidRPr="007554E7">
        <w:rPr>
          <w:sz w:val="22"/>
          <w:szCs w:val="22"/>
        </w:rPr>
        <w:t>elf-</w:t>
      </w:r>
      <w:r w:rsidR="00596AF2">
        <w:rPr>
          <w:sz w:val="22"/>
          <w:szCs w:val="22"/>
        </w:rPr>
        <w:t>e</w:t>
      </w:r>
      <w:r w:rsidRPr="007554E7">
        <w:rPr>
          <w:sz w:val="22"/>
          <w:szCs w:val="22"/>
        </w:rPr>
        <w:t>vacuation:</w:t>
      </w:r>
    </w:p>
    <w:p w14:paraId="54EF3290" w14:textId="77777777" w:rsidR="007554E7" w:rsidRPr="007554E7" w:rsidRDefault="007554E7" w:rsidP="00596AF2">
      <w:pPr>
        <w:pStyle w:val="BulletRCOT"/>
      </w:pPr>
      <w:r w:rsidRPr="007554E7">
        <w:t>Assess residents’ ability to self-evacuate</w:t>
      </w:r>
    </w:p>
    <w:p w14:paraId="7773AA22" w14:textId="77777777" w:rsidR="007554E7" w:rsidRPr="007554E7" w:rsidRDefault="007554E7" w:rsidP="00596AF2">
      <w:pPr>
        <w:pStyle w:val="BulletRCOT"/>
      </w:pPr>
      <w:r w:rsidRPr="007554E7">
        <w:t>Develop Personal Emergency Evacuation Plans (PEEPs)</w:t>
      </w:r>
    </w:p>
    <w:p w14:paraId="2B52C2CE" w14:textId="77777777" w:rsidR="007554E7" w:rsidRPr="007554E7" w:rsidRDefault="007554E7" w:rsidP="00596AF2">
      <w:pPr>
        <w:pStyle w:val="BulletRCOT"/>
      </w:pPr>
      <w:r w:rsidRPr="007554E7">
        <w:t>Recommend environmental modifications</w:t>
      </w:r>
    </w:p>
    <w:p w14:paraId="21081468" w14:textId="77777777" w:rsidR="007554E7" w:rsidRDefault="007554E7" w:rsidP="00596AF2">
      <w:pPr>
        <w:pStyle w:val="BulletRCOT"/>
      </w:pPr>
      <w:r w:rsidRPr="007554E7">
        <w:t>Advise on reasonable adjustments vs safety imperatives</w:t>
      </w:r>
    </w:p>
    <w:p w14:paraId="0E70CE07" w14:textId="77777777" w:rsidR="00596AF2" w:rsidRPr="007554E7" w:rsidRDefault="00596AF2" w:rsidP="00596AF2">
      <w:pPr>
        <w:pStyle w:val="BulletRCOT"/>
        <w:numPr>
          <w:ilvl w:val="0"/>
          <w:numId w:val="0"/>
        </w:numPr>
      </w:pPr>
    </w:p>
    <w:p w14:paraId="1EE6FFBC" w14:textId="77777777" w:rsidR="00596AF2" w:rsidRDefault="007554E7" w:rsidP="00596AF2">
      <w:pPr>
        <w:spacing w:after="0"/>
        <w:rPr>
          <w:b/>
          <w:bCs/>
          <w:sz w:val="22"/>
          <w:szCs w:val="22"/>
        </w:rPr>
      </w:pPr>
      <w:r w:rsidRPr="00596AF2">
        <w:rPr>
          <w:b/>
          <w:bCs/>
          <w:sz w:val="22"/>
          <w:szCs w:val="22"/>
        </w:rPr>
        <w:t xml:space="preserve">Complex </w:t>
      </w:r>
      <w:r w:rsidR="00596AF2">
        <w:rPr>
          <w:b/>
          <w:bCs/>
          <w:sz w:val="22"/>
          <w:szCs w:val="22"/>
        </w:rPr>
        <w:t>r</w:t>
      </w:r>
      <w:r w:rsidRPr="00596AF2">
        <w:rPr>
          <w:b/>
          <w:bCs/>
          <w:sz w:val="22"/>
          <w:szCs w:val="22"/>
        </w:rPr>
        <w:t xml:space="preserve">ehousing </w:t>
      </w:r>
      <w:r w:rsidR="00596AF2">
        <w:rPr>
          <w:b/>
          <w:bCs/>
          <w:sz w:val="22"/>
          <w:szCs w:val="22"/>
        </w:rPr>
        <w:t>and</w:t>
      </w:r>
      <w:r w:rsidRPr="00596AF2">
        <w:rPr>
          <w:b/>
          <w:bCs/>
          <w:sz w:val="22"/>
          <w:szCs w:val="22"/>
        </w:rPr>
        <w:t xml:space="preserve"> </w:t>
      </w:r>
      <w:r w:rsidR="00596AF2">
        <w:rPr>
          <w:b/>
          <w:bCs/>
          <w:sz w:val="22"/>
          <w:szCs w:val="22"/>
        </w:rPr>
        <w:t>a</w:t>
      </w:r>
      <w:r w:rsidRPr="00596AF2">
        <w:rPr>
          <w:b/>
          <w:bCs/>
          <w:sz w:val="22"/>
          <w:szCs w:val="22"/>
        </w:rPr>
        <w:t>llocation</w:t>
      </w:r>
      <w:r w:rsidR="00596AF2">
        <w:rPr>
          <w:b/>
          <w:bCs/>
          <w:sz w:val="22"/>
          <w:szCs w:val="22"/>
        </w:rPr>
        <w:t>s</w:t>
      </w:r>
    </w:p>
    <w:p w14:paraId="7BA1F3E0" w14:textId="2B8E240A" w:rsidR="007554E7" w:rsidRPr="00596AF2" w:rsidRDefault="007554E7" w:rsidP="00545CBF">
      <w:pPr>
        <w:spacing w:after="0"/>
        <w:rPr>
          <w:b/>
          <w:bCs/>
          <w:sz w:val="22"/>
          <w:szCs w:val="22"/>
        </w:rPr>
      </w:pPr>
      <w:r w:rsidRPr="007554E7">
        <w:rPr>
          <w:sz w:val="22"/>
          <w:szCs w:val="22"/>
        </w:rPr>
        <w:t xml:space="preserve">Medical </w:t>
      </w:r>
      <w:r w:rsidR="009B6453">
        <w:rPr>
          <w:sz w:val="22"/>
          <w:szCs w:val="22"/>
        </w:rPr>
        <w:t>p</w:t>
      </w:r>
      <w:r w:rsidRPr="007554E7">
        <w:rPr>
          <w:sz w:val="22"/>
          <w:szCs w:val="22"/>
        </w:rPr>
        <w:t xml:space="preserve">riority </w:t>
      </w:r>
      <w:r w:rsidR="009B6453">
        <w:rPr>
          <w:sz w:val="22"/>
          <w:szCs w:val="22"/>
        </w:rPr>
        <w:t>a</w:t>
      </w:r>
      <w:r w:rsidRPr="007554E7">
        <w:rPr>
          <w:sz w:val="22"/>
          <w:szCs w:val="22"/>
        </w:rPr>
        <w:t>ssessment:</w:t>
      </w:r>
    </w:p>
    <w:p w14:paraId="0F15CF11" w14:textId="77777777" w:rsidR="007554E7" w:rsidRPr="007554E7" w:rsidRDefault="007554E7" w:rsidP="00545CBF">
      <w:pPr>
        <w:pStyle w:val="BulletRCOT"/>
      </w:pPr>
      <w:r w:rsidRPr="007554E7">
        <w:t>Assess complex medical priority housing applications</w:t>
      </w:r>
    </w:p>
    <w:p w14:paraId="52B567DC" w14:textId="77777777" w:rsidR="007554E7" w:rsidRPr="007554E7" w:rsidRDefault="007554E7" w:rsidP="00545CBF">
      <w:pPr>
        <w:pStyle w:val="BulletRCOT"/>
      </w:pPr>
      <w:r w:rsidRPr="007554E7">
        <w:t>Conduct functional housing needs assessment (home visits where needed)</w:t>
      </w:r>
    </w:p>
    <w:p w14:paraId="145E54F7" w14:textId="77777777" w:rsidR="007554E7" w:rsidRPr="007554E7" w:rsidRDefault="007554E7" w:rsidP="00545CBF">
      <w:pPr>
        <w:pStyle w:val="BulletRCOT"/>
      </w:pPr>
      <w:r w:rsidRPr="007554E7">
        <w:t>Provide written reports for medical panel</w:t>
      </w:r>
    </w:p>
    <w:p w14:paraId="01EE4CBE" w14:textId="77777777" w:rsidR="007554E7" w:rsidRDefault="007554E7" w:rsidP="00545CBF">
      <w:pPr>
        <w:pStyle w:val="BulletRCOT"/>
      </w:pPr>
      <w:r w:rsidRPr="007554E7">
        <w:t>Advise on priority banding and property type requirements</w:t>
      </w:r>
    </w:p>
    <w:p w14:paraId="0B90CA48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2E02D3AA" w14:textId="1F59B809" w:rsidR="007554E7" w:rsidRPr="007554E7" w:rsidRDefault="007554E7" w:rsidP="00545CBF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Property </w:t>
      </w:r>
      <w:r w:rsidR="00545CBF">
        <w:rPr>
          <w:sz w:val="22"/>
          <w:szCs w:val="22"/>
        </w:rPr>
        <w:t>m</w:t>
      </w:r>
      <w:r w:rsidRPr="007554E7">
        <w:rPr>
          <w:sz w:val="22"/>
          <w:szCs w:val="22"/>
        </w:rPr>
        <w:t>atching:</w:t>
      </w:r>
    </w:p>
    <w:p w14:paraId="3D7EF4E8" w14:textId="77777777" w:rsidR="007554E7" w:rsidRPr="007554E7" w:rsidRDefault="007554E7" w:rsidP="00545CBF">
      <w:pPr>
        <w:pStyle w:val="BulletRCOT"/>
      </w:pPr>
      <w:r w:rsidRPr="007554E7">
        <w:t>Assess whether specific properties are suitable for complex cases</w:t>
      </w:r>
    </w:p>
    <w:p w14:paraId="4A863216" w14:textId="1C85D348" w:rsidR="007554E7" w:rsidRPr="007554E7" w:rsidRDefault="007554E7" w:rsidP="00545CBF">
      <w:pPr>
        <w:pStyle w:val="BulletRCOT"/>
      </w:pPr>
      <w:r w:rsidRPr="007554E7">
        <w:t>Conduct viewings with resident</w:t>
      </w:r>
      <w:r w:rsidR="00545CBF">
        <w:t>s</w:t>
      </w:r>
      <w:r w:rsidRPr="007554E7">
        <w:t xml:space="preserve"> to assess functional match</w:t>
      </w:r>
    </w:p>
    <w:p w14:paraId="193C4C9D" w14:textId="77777777" w:rsidR="007554E7" w:rsidRPr="007554E7" w:rsidRDefault="007554E7" w:rsidP="00545CBF">
      <w:pPr>
        <w:pStyle w:val="BulletRCOT"/>
      </w:pPr>
      <w:r w:rsidRPr="007554E7">
        <w:t>Professional judgment to approve/decline proposed allocations</w:t>
      </w:r>
    </w:p>
    <w:p w14:paraId="3953D59D" w14:textId="77777777" w:rsidR="007554E7" w:rsidRDefault="007554E7" w:rsidP="00545CBF">
      <w:pPr>
        <w:pStyle w:val="BulletRCOT"/>
      </w:pPr>
      <w:r w:rsidRPr="007554E7">
        <w:t>Identify where modification would be needed vs suitable as-is</w:t>
      </w:r>
    </w:p>
    <w:p w14:paraId="0DADB12F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6036B2D0" w14:textId="66BA3B76" w:rsidR="007554E7" w:rsidRPr="007554E7" w:rsidRDefault="007554E7" w:rsidP="00545CBF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Urgent </w:t>
      </w:r>
      <w:r w:rsidR="00545CBF">
        <w:rPr>
          <w:sz w:val="22"/>
          <w:szCs w:val="22"/>
        </w:rPr>
        <w:t>r</w:t>
      </w:r>
      <w:r w:rsidRPr="007554E7">
        <w:rPr>
          <w:sz w:val="22"/>
          <w:szCs w:val="22"/>
        </w:rPr>
        <w:t>ehousing:</w:t>
      </w:r>
    </w:p>
    <w:p w14:paraId="2D76BA0B" w14:textId="77777777" w:rsidR="007554E7" w:rsidRPr="007554E7" w:rsidRDefault="007554E7" w:rsidP="00545CBF">
      <w:pPr>
        <w:pStyle w:val="BulletRCOT"/>
      </w:pPr>
      <w:r w:rsidRPr="007554E7">
        <w:t>Rapid assessment for hospital discharge cases</w:t>
      </w:r>
    </w:p>
    <w:p w14:paraId="3ECC01BA" w14:textId="77777777" w:rsidR="007554E7" w:rsidRPr="007554E7" w:rsidRDefault="007554E7" w:rsidP="00545CBF">
      <w:pPr>
        <w:pStyle w:val="BulletRCOT"/>
      </w:pPr>
      <w:r w:rsidRPr="007554E7">
        <w:t>Emergency rehousing due to home loss (fire, domestic abuse, eviction)</w:t>
      </w:r>
    </w:p>
    <w:p w14:paraId="336B0C38" w14:textId="77777777" w:rsidR="007554E7" w:rsidRPr="007554E7" w:rsidRDefault="007554E7" w:rsidP="00545CBF">
      <w:pPr>
        <w:pStyle w:val="BulletRCOT"/>
      </w:pPr>
      <w:r w:rsidRPr="007554E7">
        <w:t>Temporary accommodation assessments</w:t>
      </w:r>
    </w:p>
    <w:p w14:paraId="2CC09D68" w14:textId="77777777" w:rsidR="007554E7" w:rsidRDefault="007554E7" w:rsidP="00545CBF">
      <w:pPr>
        <w:pStyle w:val="BulletRCOT"/>
      </w:pPr>
      <w:r w:rsidRPr="007554E7">
        <w:t>Priority pathways for urgent cases</w:t>
      </w:r>
    </w:p>
    <w:p w14:paraId="2B377251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7463692F" w14:textId="18EE0856" w:rsidR="007554E7" w:rsidRPr="007554E7" w:rsidRDefault="007554E7" w:rsidP="00545CBF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lastRenderedPageBreak/>
        <w:t>Multi-</w:t>
      </w:r>
      <w:r w:rsidR="00545CBF">
        <w:rPr>
          <w:sz w:val="22"/>
          <w:szCs w:val="22"/>
        </w:rPr>
        <w:t>a</w:t>
      </w:r>
      <w:r w:rsidRPr="007554E7">
        <w:rPr>
          <w:sz w:val="22"/>
          <w:szCs w:val="22"/>
        </w:rPr>
        <w:t xml:space="preserve">gency </w:t>
      </w:r>
      <w:r w:rsidR="00545CBF">
        <w:rPr>
          <w:sz w:val="22"/>
          <w:szCs w:val="22"/>
        </w:rPr>
        <w:t>c</w:t>
      </w:r>
      <w:r w:rsidRPr="007554E7">
        <w:rPr>
          <w:sz w:val="22"/>
          <w:szCs w:val="22"/>
        </w:rPr>
        <w:t>oordination:</w:t>
      </w:r>
    </w:p>
    <w:p w14:paraId="24C71814" w14:textId="77777777" w:rsidR="007554E7" w:rsidRPr="007554E7" w:rsidRDefault="007554E7" w:rsidP="00545CBF">
      <w:pPr>
        <w:pStyle w:val="BulletRCOT"/>
      </w:pPr>
      <w:r w:rsidRPr="007554E7">
        <w:t>Link with adult social care (safeguarding, care packages, OT teams)</w:t>
      </w:r>
    </w:p>
    <w:p w14:paraId="04F36F3E" w14:textId="77777777" w:rsidR="007554E7" w:rsidRPr="007554E7" w:rsidRDefault="007554E7" w:rsidP="00545CBF">
      <w:pPr>
        <w:pStyle w:val="BulletRCOT"/>
      </w:pPr>
      <w:r w:rsidRPr="007554E7">
        <w:t>Coordinate with health services (GPs, community teams, hospitals)</w:t>
      </w:r>
    </w:p>
    <w:p w14:paraId="09FF44F0" w14:textId="77777777" w:rsidR="007554E7" w:rsidRPr="007554E7" w:rsidRDefault="007554E7" w:rsidP="00545CBF">
      <w:pPr>
        <w:pStyle w:val="BulletRCOT"/>
      </w:pPr>
      <w:r w:rsidRPr="007554E7">
        <w:t>Work with mental health services</w:t>
      </w:r>
    </w:p>
    <w:p w14:paraId="2104737F" w14:textId="77777777" w:rsidR="007554E7" w:rsidRPr="007554E7" w:rsidRDefault="007554E7" w:rsidP="00545CBF">
      <w:pPr>
        <w:pStyle w:val="BulletRCOT"/>
      </w:pPr>
      <w:r w:rsidRPr="007554E7">
        <w:t>Connect with substance use services</w:t>
      </w:r>
    </w:p>
    <w:p w14:paraId="42CF8D7A" w14:textId="77777777" w:rsidR="007554E7" w:rsidRPr="007554E7" w:rsidRDefault="007554E7" w:rsidP="00545CBF">
      <w:pPr>
        <w:pStyle w:val="BulletRCOT"/>
      </w:pPr>
      <w:r w:rsidRPr="007554E7">
        <w:t>Engage with fire service for complex cases</w:t>
      </w:r>
    </w:p>
    <w:p w14:paraId="2F735FF5" w14:textId="77777777" w:rsidR="007554E7" w:rsidRDefault="007554E7" w:rsidP="00545CBF">
      <w:pPr>
        <w:pStyle w:val="BulletRCOT"/>
      </w:pPr>
      <w:r w:rsidRPr="007554E7">
        <w:t>Participate in Multi-Agency Risk Assessment Conferences (MARAC) where appropriate</w:t>
      </w:r>
    </w:p>
    <w:p w14:paraId="728453D4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7834FD49" w14:textId="3E11D941" w:rsidR="007554E7" w:rsidRPr="007554E7" w:rsidRDefault="007554E7" w:rsidP="00545CBF">
      <w:pPr>
        <w:spacing w:after="0"/>
        <w:rPr>
          <w:sz w:val="22"/>
          <w:szCs w:val="22"/>
        </w:rPr>
      </w:pPr>
      <w:r w:rsidRPr="007554E7">
        <w:rPr>
          <w:sz w:val="22"/>
          <w:szCs w:val="22"/>
        </w:rPr>
        <w:t xml:space="preserve">Training </w:t>
      </w:r>
      <w:r w:rsidR="00545CBF">
        <w:rPr>
          <w:sz w:val="22"/>
          <w:szCs w:val="22"/>
        </w:rPr>
        <w:t>and</w:t>
      </w:r>
      <w:r w:rsidRPr="007554E7">
        <w:rPr>
          <w:sz w:val="22"/>
          <w:szCs w:val="22"/>
        </w:rPr>
        <w:t xml:space="preserve"> </w:t>
      </w:r>
      <w:r w:rsidR="00545CBF">
        <w:rPr>
          <w:sz w:val="22"/>
          <w:szCs w:val="22"/>
        </w:rPr>
        <w:t>d</w:t>
      </w:r>
      <w:r w:rsidRPr="007554E7">
        <w:rPr>
          <w:sz w:val="22"/>
          <w:szCs w:val="22"/>
        </w:rPr>
        <w:t>evelopment:</w:t>
      </w:r>
    </w:p>
    <w:p w14:paraId="23E5DE12" w14:textId="77777777" w:rsidR="007554E7" w:rsidRPr="007554E7" w:rsidRDefault="007554E7" w:rsidP="00545CBF">
      <w:pPr>
        <w:pStyle w:val="BulletRCOT"/>
      </w:pPr>
      <w:r w:rsidRPr="007554E7">
        <w:t>Training for housing officers on recognising health/disability factors</w:t>
      </w:r>
    </w:p>
    <w:p w14:paraId="44851874" w14:textId="77777777" w:rsidR="007554E7" w:rsidRPr="007554E7" w:rsidRDefault="007554E7" w:rsidP="00545CBF">
      <w:pPr>
        <w:pStyle w:val="BulletRCOT"/>
      </w:pPr>
      <w:r w:rsidRPr="007554E7">
        <w:t>Guidance on when to refer to OT</w:t>
      </w:r>
    </w:p>
    <w:p w14:paraId="4107F1A8" w14:textId="77777777" w:rsidR="007554E7" w:rsidRPr="007554E7" w:rsidRDefault="007554E7" w:rsidP="00545CBF">
      <w:pPr>
        <w:pStyle w:val="BulletRCOT"/>
      </w:pPr>
      <w:r w:rsidRPr="007554E7">
        <w:t>Understanding reasonable adjustments</w:t>
      </w:r>
    </w:p>
    <w:p w14:paraId="68CE99DD" w14:textId="77777777" w:rsidR="007554E7" w:rsidRDefault="007554E7" w:rsidP="00545CBF">
      <w:pPr>
        <w:pStyle w:val="BulletRCOT"/>
      </w:pPr>
      <w:r w:rsidRPr="007554E7">
        <w:t>Supporting vulnerable residents appropriately</w:t>
      </w:r>
    </w:p>
    <w:p w14:paraId="1F6C1947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58F19956" w14:textId="684A121A" w:rsidR="007554E7" w:rsidRPr="007554E7" w:rsidRDefault="007554E7" w:rsidP="00545CBF">
      <w:pPr>
        <w:pStyle w:val="Heading2"/>
      </w:pPr>
      <w:r w:rsidRPr="007554E7">
        <w:t xml:space="preserve">Delivery </w:t>
      </w:r>
      <w:r w:rsidR="00545CBF">
        <w:t>m</w:t>
      </w:r>
      <w:r w:rsidRPr="007554E7">
        <w:t>odel</w:t>
      </w:r>
    </w:p>
    <w:p w14:paraId="47946137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sz w:val="22"/>
          <w:szCs w:val="22"/>
        </w:rPr>
        <w:t>1.0 FTE Housing Support OT (Band [X]) within housing management team</w:t>
      </w:r>
    </w:p>
    <w:p w14:paraId="2262672E" w14:textId="77777777" w:rsidR="007554E7" w:rsidRPr="00545CBF" w:rsidRDefault="007554E7" w:rsidP="00545CBF">
      <w:pPr>
        <w:spacing w:after="0"/>
        <w:rPr>
          <w:b/>
          <w:bCs/>
          <w:sz w:val="22"/>
          <w:szCs w:val="22"/>
        </w:rPr>
      </w:pPr>
      <w:r w:rsidRPr="00545CBF">
        <w:rPr>
          <w:b/>
          <w:bCs/>
          <w:sz w:val="22"/>
          <w:szCs w:val="22"/>
        </w:rPr>
        <w:t>Governance:</w:t>
      </w:r>
    </w:p>
    <w:p w14:paraId="341D0E47" w14:textId="77777777" w:rsidR="007554E7" w:rsidRPr="007554E7" w:rsidRDefault="007554E7" w:rsidP="00545CBF">
      <w:pPr>
        <w:pStyle w:val="BulletRCOT"/>
      </w:pPr>
      <w:r w:rsidRPr="007554E7">
        <w:t>Reports to: [Head of Housing Management / Director of Housing]</w:t>
      </w:r>
    </w:p>
    <w:p w14:paraId="59B986F8" w14:textId="77777777" w:rsidR="007554E7" w:rsidRPr="007554E7" w:rsidRDefault="007554E7" w:rsidP="00545CBF">
      <w:pPr>
        <w:pStyle w:val="BulletRCOT"/>
      </w:pPr>
      <w:r w:rsidRPr="007554E7">
        <w:t>Professional supervision: [Senior OT / professional network]</w:t>
      </w:r>
    </w:p>
    <w:p w14:paraId="3D7BB561" w14:textId="77777777" w:rsidR="007554E7" w:rsidRPr="007554E7" w:rsidRDefault="007554E7" w:rsidP="00545CBF">
      <w:pPr>
        <w:pStyle w:val="BulletRCOT"/>
      </w:pPr>
      <w:r w:rsidRPr="007554E7">
        <w:t>Safeguarding escalation pathways established</w:t>
      </w:r>
    </w:p>
    <w:p w14:paraId="4DEA298C" w14:textId="77777777" w:rsidR="007554E7" w:rsidRPr="007554E7" w:rsidRDefault="007554E7" w:rsidP="00545CBF">
      <w:pPr>
        <w:pStyle w:val="BulletRCOT"/>
      </w:pPr>
      <w:r w:rsidRPr="007554E7">
        <w:t>Multi-agency meeting attendance as required</w:t>
      </w:r>
    </w:p>
    <w:p w14:paraId="2B48BB80" w14:textId="77777777" w:rsidR="007554E7" w:rsidRDefault="007554E7" w:rsidP="00545CBF">
      <w:pPr>
        <w:pStyle w:val="BulletRCOT"/>
      </w:pPr>
      <w:r w:rsidRPr="007554E7">
        <w:t>Quarterly performance reports</w:t>
      </w:r>
    </w:p>
    <w:p w14:paraId="2954A6D3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204DD699" w14:textId="77777777" w:rsidR="007554E7" w:rsidRPr="00545CBF" w:rsidRDefault="007554E7" w:rsidP="00545CBF">
      <w:pPr>
        <w:spacing w:after="0"/>
        <w:rPr>
          <w:b/>
          <w:bCs/>
          <w:sz w:val="22"/>
          <w:szCs w:val="22"/>
        </w:rPr>
      </w:pPr>
      <w:r w:rsidRPr="00545CBF">
        <w:rPr>
          <w:b/>
          <w:bCs/>
          <w:sz w:val="22"/>
          <w:szCs w:val="22"/>
        </w:rPr>
        <w:t>Timeline:</w:t>
      </w:r>
    </w:p>
    <w:p w14:paraId="652E6ECA" w14:textId="77777777" w:rsidR="007554E7" w:rsidRPr="00545CBF" w:rsidRDefault="007554E7" w:rsidP="00545CBF">
      <w:pPr>
        <w:pStyle w:val="BulletRCOT"/>
      </w:pPr>
      <w:r w:rsidRPr="00545CBF">
        <w:t>Months 1-3: Recruitment, develop protocols, establish referral pathways, stakeholder engagement</w:t>
      </w:r>
    </w:p>
    <w:p w14:paraId="415D38F6" w14:textId="77777777" w:rsidR="007554E7" w:rsidRPr="00545CBF" w:rsidRDefault="007554E7" w:rsidP="00545CBF">
      <w:pPr>
        <w:pStyle w:val="BulletRCOT"/>
      </w:pPr>
      <w:r w:rsidRPr="00545CBF">
        <w:t>Months 4-6: Begin accepting referrals, pilot interventions, build relationships with health/social care</w:t>
      </w:r>
    </w:p>
    <w:p w14:paraId="305F1FB1" w14:textId="77777777" w:rsidR="007554E7" w:rsidRPr="00545CBF" w:rsidRDefault="007554E7" w:rsidP="00545CBF">
      <w:pPr>
        <w:pStyle w:val="BulletRCOT"/>
      </w:pPr>
      <w:r w:rsidRPr="00545CBF">
        <w:t>Months 7-12: Full caseload, demonstrate impact through case studies, refine approach</w:t>
      </w:r>
    </w:p>
    <w:p w14:paraId="4C4F9979" w14:textId="407D9808" w:rsidR="007554E7" w:rsidRDefault="007554E7" w:rsidP="00545CBF">
      <w:pPr>
        <w:pStyle w:val="BulletRCOT"/>
      </w:pPr>
      <w:r w:rsidRPr="00545CBF">
        <w:t>Year 2+: Continuous improvement, expand prevention work, training program</w:t>
      </w:r>
      <w:r w:rsidR="00545CBF">
        <w:t>me</w:t>
      </w:r>
    </w:p>
    <w:p w14:paraId="47DA90D4" w14:textId="77777777" w:rsidR="00545CBF" w:rsidRPr="00545CBF" w:rsidRDefault="00545CBF" w:rsidP="00545CBF">
      <w:pPr>
        <w:pStyle w:val="BulletRCOT"/>
        <w:numPr>
          <w:ilvl w:val="0"/>
          <w:numId w:val="0"/>
        </w:numPr>
      </w:pPr>
    </w:p>
    <w:p w14:paraId="24BF9E6F" w14:textId="2E867B13" w:rsidR="007554E7" w:rsidRPr="007554E7" w:rsidRDefault="007554E7" w:rsidP="007554E7">
      <w:pPr>
        <w:pStyle w:val="Heading1"/>
      </w:pPr>
      <w:r w:rsidRPr="007554E7">
        <w:t xml:space="preserve">5. Options </w:t>
      </w:r>
      <w:r>
        <w:t>a</w:t>
      </w:r>
      <w:r w:rsidRPr="007554E7">
        <w:t>ppraisal</w:t>
      </w:r>
    </w:p>
    <w:p w14:paraId="662DDC3E" w14:textId="7E257F9B" w:rsidR="007554E7" w:rsidRPr="007554E7" w:rsidRDefault="007554E7" w:rsidP="007554E7">
      <w:pPr>
        <w:rPr>
          <w:sz w:val="22"/>
          <w:szCs w:val="22"/>
        </w:rPr>
      </w:pPr>
      <w:r w:rsidRPr="009B6453">
        <w:rPr>
          <w:rStyle w:val="Heading2Char"/>
        </w:rPr>
        <w:t xml:space="preserve">Option 1 – </w:t>
      </w:r>
      <w:r w:rsidR="009B6453">
        <w:rPr>
          <w:rStyle w:val="Heading2Char"/>
        </w:rPr>
        <w:t>d</w:t>
      </w:r>
      <w:r w:rsidRPr="009B6453">
        <w:rPr>
          <w:rStyle w:val="Heading2Char"/>
        </w:rPr>
        <w:t xml:space="preserve">o </w:t>
      </w:r>
      <w:r w:rsidR="009B6453">
        <w:rPr>
          <w:rStyle w:val="Heading2Char"/>
        </w:rPr>
        <w:t>n</w:t>
      </w:r>
      <w:r w:rsidRPr="009B6453">
        <w:rPr>
          <w:rStyle w:val="Heading2Char"/>
        </w:rPr>
        <w:t>othing</w:t>
      </w:r>
      <w:r w:rsidR="009B6453">
        <w:rPr>
          <w:rStyle w:val="Heading2Char"/>
        </w:rPr>
        <w:t>.</w:t>
      </w:r>
      <w:r w:rsidRPr="007554E7">
        <w:rPr>
          <w:sz w:val="22"/>
          <w:szCs w:val="22"/>
        </w:rPr>
        <w:t xml:space="preserve"> Continue current practice with housing officers managing complex cases without clinical expertise.</w:t>
      </w:r>
    </w:p>
    <w:p w14:paraId="5FF38669" w14:textId="77777777" w:rsidR="009B6453" w:rsidRDefault="007554E7" w:rsidP="009B6453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Implications:</w:t>
      </w:r>
      <w:r w:rsidRPr="007554E7">
        <w:rPr>
          <w:sz w:val="22"/>
          <w:szCs w:val="22"/>
        </w:rPr>
        <w:t xml:space="preserve"> Continued evictions ([X] annually, cost [£X] each), unsuitable allocations, tenancy breakdowns, safeguarding failures, legal challenges.</w:t>
      </w:r>
    </w:p>
    <w:p w14:paraId="08672126" w14:textId="7698D36A" w:rsidR="007554E7" w:rsidRPr="009B6453" w:rsidRDefault="007554E7" w:rsidP="009B6453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Annual cost:</w:t>
      </w:r>
      <w:r w:rsidRPr="009B6453">
        <w:rPr>
          <w:sz w:val="22"/>
          <w:szCs w:val="22"/>
        </w:rPr>
        <w:t xml:space="preserve"> [£X]</w:t>
      </w:r>
    </w:p>
    <w:p w14:paraId="776F747C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Verdict:</w:t>
      </w:r>
      <w:r w:rsidRPr="007554E7">
        <w:rPr>
          <w:sz w:val="22"/>
          <w:szCs w:val="22"/>
        </w:rPr>
        <w:t xml:space="preserve"> Not recommended. High risk and cost.</w:t>
      </w:r>
    </w:p>
    <w:p w14:paraId="406662E9" w14:textId="2985851F" w:rsidR="007554E7" w:rsidRPr="007554E7" w:rsidRDefault="007554E7" w:rsidP="007554E7">
      <w:pPr>
        <w:rPr>
          <w:sz w:val="22"/>
          <w:szCs w:val="22"/>
        </w:rPr>
      </w:pPr>
      <w:r w:rsidRPr="009B6453">
        <w:rPr>
          <w:rStyle w:val="Heading2Char"/>
        </w:rPr>
        <w:t xml:space="preserve">Option 2 – </w:t>
      </w:r>
      <w:r w:rsidR="009B6453">
        <w:rPr>
          <w:rStyle w:val="Heading2Char"/>
        </w:rPr>
        <w:t>d</w:t>
      </w:r>
      <w:r w:rsidRPr="009B6453">
        <w:rPr>
          <w:rStyle w:val="Heading2Char"/>
        </w:rPr>
        <w:t xml:space="preserve">o </w:t>
      </w:r>
      <w:r w:rsidR="009B6453">
        <w:rPr>
          <w:rStyle w:val="Heading2Char"/>
        </w:rPr>
        <w:t>m</w:t>
      </w:r>
      <w:r w:rsidRPr="009B6453">
        <w:rPr>
          <w:rStyle w:val="Heading2Char"/>
        </w:rPr>
        <w:t>inimum</w:t>
      </w:r>
      <w:r w:rsidR="009B6453">
        <w:rPr>
          <w:rStyle w:val="Heading2Char"/>
        </w:rPr>
        <w:t>.</w:t>
      </w:r>
      <w:r w:rsidRPr="007554E7">
        <w:rPr>
          <w:sz w:val="22"/>
          <w:szCs w:val="22"/>
        </w:rPr>
        <w:t xml:space="preserve"> Establish referral pathway to existing adult social care OT for complex cases.</w:t>
      </w:r>
    </w:p>
    <w:p w14:paraId="6165F97C" w14:textId="77777777" w:rsidR="009B6453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Implications:</w:t>
      </w:r>
      <w:r w:rsidRPr="007554E7">
        <w:rPr>
          <w:sz w:val="22"/>
          <w:szCs w:val="22"/>
        </w:rPr>
        <w:t xml:space="preserve"> Long waits (social care prioritises statutory duties), limited housing knowledge, insufficient capacity, partial coverage only.</w:t>
      </w:r>
    </w:p>
    <w:p w14:paraId="32ED6827" w14:textId="6C7BB89B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lastRenderedPageBreak/>
        <w:t xml:space="preserve">Limited benefit: </w:t>
      </w:r>
      <w:r w:rsidRPr="009B6453">
        <w:rPr>
          <w:sz w:val="22"/>
          <w:szCs w:val="22"/>
        </w:rPr>
        <w:t>[£X]</w:t>
      </w:r>
    </w:p>
    <w:p w14:paraId="0CF4A422" w14:textId="1A442CB8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Verdict:</w:t>
      </w:r>
      <w:r w:rsidRPr="007554E7">
        <w:rPr>
          <w:sz w:val="22"/>
          <w:szCs w:val="22"/>
        </w:rPr>
        <w:t xml:space="preserve"> Insufficient for scale of need.</w:t>
      </w:r>
    </w:p>
    <w:p w14:paraId="20495E2E" w14:textId="1E08230A" w:rsidR="007554E7" w:rsidRPr="007554E7" w:rsidRDefault="007554E7" w:rsidP="007554E7">
      <w:pPr>
        <w:rPr>
          <w:sz w:val="22"/>
          <w:szCs w:val="22"/>
        </w:rPr>
      </w:pPr>
      <w:r w:rsidRPr="009B6453">
        <w:rPr>
          <w:rStyle w:val="Heading2Char"/>
        </w:rPr>
        <w:t xml:space="preserve">Option 3 – </w:t>
      </w:r>
      <w:r w:rsidR="009B6453">
        <w:rPr>
          <w:rStyle w:val="Heading2Char"/>
        </w:rPr>
        <w:t>p</w:t>
      </w:r>
      <w:r w:rsidRPr="009B6453">
        <w:rPr>
          <w:rStyle w:val="Heading2Char"/>
        </w:rPr>
        <w:t xml:space="preserve">referred: </w:t>
      </w:r>
      <w:r w:rsidR="009B6453">
        <w:rPr>
          <w:rStyle w:val="Heading2Char"/>
        </w:rPr>
        <w:t>d</w:t>
      </w:r>
      <w:r w:rsidRPr="009B6453">
        <w:rPr>
          <w:rStyle w:val="Heading2Char"/>
        </w:rPr>
        <w:t>edicated Housing Support OT</w:t>
      </w:r>
      <w:r w:rsidRPr="007554E7">
        <w:rPr>
          <w:sz w:val="22"/>
          <w:szCs w:val="22"/>
        </w:rPr>
        <w:t xml:space="preserve"> 1.0 FTE OT with housing and complex needs expertise, embedded in housing management team.</w:t>
      </w:r>
    </w:p>
    <w:p w14:paraId="39AEDC89" w14:textId="0DFCECC5" w:rsidR="007554E7" w:rsidRPr="007554E7" w:rsidRDefault="007554E7" w:rsidP="009B6453">
      <w:pPr>
        <w:spacing w:after="0"/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 xml:space="preserve">Financial </w:t>
      </w:r>
      <w:r w:rsidR="009B6453">
        <w:rPr>
          <w:b/>
          <w:bCs/>
          <w:sz w:val="22"/>
          <w:szCs w:val="22"/>
        </w:rPr>
        <w:t>i</w:t>
      </w:r>
      <w:r w:rsidRPr="007554E7">
        <w:rPr>
          <w:b/>
          <w:bCs/>
          <w:sz w:val="22"/>
          <w:szCs w:val="22"/>
        </w:rPr>
        <w:t>mpact:</w:t>
      </w:r>
    </w:p>
    <w:p w14:paraId="044F34BD" w14:textId="77777777" w:rsidR="007554E7" w:rsidRPr="007554E7" w:rsidRDefault="007554E7" w:rsidP="009B6453">
      <w:pPr>
        <w:pStyle w:val="BulletRCOT"/>
      </w:pPr>
      <w:r w:rsidRPr="007554E7">
        <w:t>Investment: [£X] annually</w:t>
      </w:r>
    </w:p>
    <w:p w14:paraId="6DA6D647" w14:textId="77777777" w:rsidR="007554E7" w:rsidRPr="007554E7" w:rsidRDefault="007554E7" w:rsidP="009B6453">
      <w:pPr>
        <w:pStyle w:val="BulletRCOT"/>
      </w:pPr>
      <w:r w:rsidRPr="007554E7">
        <w:t>Returns: [£X] annually (prevented evictions, better allocations, delayed care, health savings)</w:t>
      </w:r>
    </w:p>
    <w:p w14:paraId="347754A9" w14:textId="77777777" w:rsidR="007554E7" w:rsidRPr="007554E7" w:rsidRDefault="007554E7" w:rsidP="009B6453">
      <w:pPr>
        <w:pStyle w:val="BulletRCOT"/>
      </w:pPr>
      <w:r w:rsidRPr="007554E7">
        <w:t>Net benefit: [£X] annually</w:t>
      </w:r>
    </w:p>
    <w:p w14:paraId="60F79C67" w14:textId="77777777" w:rsidR="007554E7" w:rsidRDefault="007554E7" w:rsidP="009B6453">
      <w:pPr>
        <w:pStyle w:val="BulletRCOT"/>
      </w:pPr>
      <w:r w:rsidRPr="007554E7">
        <w:t>ROI: [X:1]</w:t>
      </w:r>
    </w:p>
    <w:p w14:paraId="09D45FD7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1638006D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Verdict:</w:t>
      </w:r>
      <w:r w:rsidRPr="007554E7">
        <w:rPr>
          <w:sz w:val="22"/>
          <w:szCs w:val="22"/>
        </w:rPr>
        <w:t xml:space="preserve"> Strongly recommended. Addresses gap in service, proven model.</w:t>
      </w:r>
    </w:p>
    <w:p w14:paraId="7D750360" w14:textId="688DE065" w:rsidR="007554E7" w:rsidRPr="007554E7" w:rsidRDefault="007554E7" w:rsidP="007554E7">
      <w:pPr>
        <w:pStyle w:val="Heading1"/>
      </w:pPr>
      <w:r w:rsidRPr="007554E7">
        <w:t xml:space="preserve">6. Financial </w:t>
      </w:r>
      <w:r>
        <w:t>a</w:t>
      </w:r>
      <w:r w:rsidRPr="007554E7">
        <w:t>nalysis</w:t>
      </w:r>
    </w:p>
    <w:p w14:paraId="0D0F7968" w14:textId="77777777" w:rsidR="007554E7" w:rsidRPr="009B6453" w:rsidRDefault="007554E7" w:rsidP="007554E7">
      <w:pPr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Costs:</w:t>
      </w:r>
    </w:p>
    <w:tbl>
      <w:tblPr>
        <w:tblW w:w="5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1384"/>
      </w:tblGrid>
      <w:tr w:rsidR="007554E7" w:rsidRPr="007554E7" w14:paraId="7C343FF2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4441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314E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Annual Cost</w:t>
            </w:r>
          </w:p>
        </w:tc>
      </w:tr>
      <w:tr w:rsidR="007554E7" w:rsidRPr="007554E7" w14:paraId="1EFBF8B3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131B" w14:textId="77D2760B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OT </w:t>
            </w:r>
            <w:r w:rsidR="009B6453">
              <w:rPr>
                <w:sz w:val="22"/>
                <w:szCs w:val="22"/>
              </w:rPr>
              <w:t>s</w:t>
            </w:r>
            <w:r w:rsidRPr="007554E7">
              <w:rPr>
                <w:sz w:val="22"/>
                <w:szCs w:val="22"/>
              </w:rPr>
              <w:t>alary (Band [X]) + on-costs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FE19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7250BBF5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A8EB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Office, IT, travel (home visits)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1A8F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1C0CA24D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A84E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Training &amp; professional development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8D61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6295E8D2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1234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Multi-agency meeting time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3181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15FCD306" w14:textId="77777777" w:rsidTr="008E7EDC"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9AA7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Total Annual Investment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D4C1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</w:tbl>
    <w:p w14:paraId="0A4EC3C0" w14:textId="77777777" w:rsidR="009B6453" w:rsidRDefault="009B6453" w:rsidP="009B6453">
      <w:pPr>
        <w:spacing w:after="0"/>
        <w:rPr>
          <w:sz w:val="22"/>
          <w:szCs w:val="22"/>
        </w:rPr>
      </w:pPr>
    </w:p>
    <w:p w14:paraId="1F3837AB" w14:textId="336D7C85" w:rsidR="007554E7" w:rsidRPr="009B6453" w:rsidRDefault="007554E7" w:rsidP="007554E7">
      <w:pPr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Returns: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6"/>
        <w:gridCol w:w="1330"/>
      </w:tblGrid>
      <w:tr w:rsidR="007554E7" w:rsidRPr="007554E7" w14:paraId="037C268E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C4E39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Benefit Area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B5E7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Annual Value</w:t>
            </w:r>
          </w:p>
        </w:tc>
      </w:tr>
      <w:tr w:rsidR="007554E7" w:rsidRPr="007554E7" w14:paraId="3267C61E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B93" w14:textId="302903D6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Evictions </w:t>
            </w:r>
            <w:r w:rsidR="009B6453">
              <w:rPr>
                <w:sz w:val="22"/>
                <w:szCs w:val="22"/>
              </w:rPr>
              <w:t>p</w:t>
            </w:r>
            <w:r w:rsidRPr="007554E7">
              <w:rPr>
                <w:sz w:val="22"/>
                <w:szCs w:val="22"/>
              </w:rPr>
              <w:t>revented: ([X] cases × [£X] per eviction process + temporary accommodation + rehousing)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D3C3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3129CDA9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8446A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Homelessness Prevention Duty Costs Avoided: ([X] cases × [£X])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57657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2A38F7A9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8F28" w14:textId="563C3AEE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Rehousing </w:t>
            </w:r>
            <w:r w:rsidR="009B6453">
              <w:rPr>
                <w:sz w:val="22"/>
                <w:szCs w:val="22"/>
              </w:rPr>
              <w:t>c</w:t>
            </w:r>
            <w:r w:rsidRPr="007554E7">
              <w:rPr>
                <w:sz w:val="22"/>
                <w:szCs w:val="22"/>
              </w:rPr>
              <w:t xml:space="preserve">ycles </w:t>
            </w:r>
            <w:r w:rsidR="009B6453">
              <w:rPr>
                <w:sz w:val="22"/>
                <w:szCs w:val="22"/>
              </w:rPr>
              <w:t>p</w:t>
            </w:r>
            <w:r w:rsidRPr="007554E7">
              <w:rPr>
                <w:sz w:val="22"/>
                <w:szCs w:val="22"/>
              </w:rPr>
              <w:t>revented: Better first-time matching ([X] cases × [£X])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C54E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2D506B5F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DC51" w14:textId="75276DD0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Residential </w:t>
            </w:r>
            <w:r w:rsidR="009B6453">
              <w:rPr>
                <w:sz w:val="22"/>
                <w:szCs w:val="22"/>
              </w:rPr>
              <w:t>c</w:t>
            </w:r>
            <w:r w:rsidRPr="007554E7">
              <w:rPr>
                <w:sz w:val="22"/>
                <w:szCs w:val="22"/>
              </w:rPr>
              <w:t xml:space="preserve">are </w:t>
            </w:r>
            <w:r w:rsidR="009B6453">
              <w:rPr>
                <w:sz w:val="22"/>
                <w:szCs w:val="22"/>
              </w:rPr>
              <w:t>d</w:t>
            </w:r>
            <w:r w:rsidRPr="007554E7">
              <w:rPr>
                <w:sz w:val="22"/>
                <w:szCs w:val="22"/>
              </w:rPr>
              <w:t>elayed: ([X] residents × [X] weeks × £[1,036]/week)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0C09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4770766E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D489" w14:textId="532E2BBA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Hospital </w:t>
            </w:r>
            <w:r w:rsidR="009B6453">
              <w:rPr>
                <w:sz w:val="22"/>
                <w:szCs w:val="22"/>
              </w:rPr>
              <w:t>d</w:t>
            </w:r>
            <w:r w:rsidRPr="007554E7">
              <w:rPr>
                <w:sz w:val="22"/>
                <w:szCs w:val="22"/>
              </w:rPr>
              <w:t xml:space="preserve">ischarges </w:t>
            </w:r>
            <w:r w:rsidR="009B6453">
              <w:rPr>
                <w:sz w:val="22"/>
                <w:szCs w:val="22"/>
              </w:rPr>
              <w:t>f</w:t>
            </w:r>
            <w:r w:rsidRPr="007554E7">
              <w:rPr>
                <w:sz w:val="22"/>
                <w:szCs w:val="22"/>
              </w:rPr>
              <w:t>acilitated: ([X] cases × [£X] delayed discharge cost)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4803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48EF0193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C2903" w14:textId="78F1F633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Reduced </w:t>
            </w:r>
            <w:r w:rsidR="009B6453">
              <w:rPr>
                <w:sz w:val="22"/>
                <w:szCs w:val="22"/>
              </w:rPr>
              <w:t>p</w:t>
            </w:r>
            <w:r w:rsidRPr="007554E7">
              <w:rPr>
                <w:sz w:val="22"/>
                <w:szCs w:val="22"/>
              </w:rPr>
              <w:t xml:space="preserve">roperty </w:t>
            </w:r>
            <w:r w:rsidR="009B6453">
              <w:rPr>
                <w:sz w:val="22"/>
                <w:szCs w:val="22"/>
              </w:rPr>
              <w:t>d</w:t>
            </w:r>
            <w:r w:rsidRPr="007554E7">
              <w:rPr>
                <w:sz w:val="22"/>
                <w:szCs w:val="22"/>
              </w:rPr>
              <w:t>amage/</w:t>
            </w:r>
            <w:r w:rsidR="009B6453">
              <w:rPr>
                <w:sz w:val="22"/>
                <w:szCs w:val="22"/>
              </w:rPr>
              <w:t>r</w:t>
            </w:r>
            <w:r w:rsidRPr="007554E7">
              <w:rPr>
                <w:sz w:val="22"/>
                <w:szCs w:val="22"/>
              </w:rPr>
              <w:t>epairs: Better</w:t>
            </w:r>
            <w:r w:rsidR="009B6453">
              <w:rPr>
                <w:sz w:val="22"/>
                <w:szCs w:val="22"/>
              </w:rPr>
              <w:t xml:space="preserve"> support for</w:t>
            </w:r>
            <w:r w:rsidRPr="007554E7">
              <w:rPr>
                <w:sz w:val="22"/>
                <w:szCs w:val="22"/>
              </w:rPr>
              <w:t xml:space="preserve"> hoarding, neglect ([X%] of [£X])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23C4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3D793D27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497C" w14:textId="692838E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lastRenderedPageBreak/>
              <w:t xml:space="preserve">Reduced </w:t>
            </w:r>
            <w:r w:rsidR="009B6453">
              <w:rPr>
                <w:sz w:val="22"/>
                <w:szCs w:val="22"/>
              </w:rPr>
              <w:t>l</w:t>
            </w:r>
            <w:r w:rsidRPr="007554E7">
              <w:rPr>
                <w:sz w:val="22"/>
                <w:szCs w:val="22"/>
              </w:rPr>
              <w:t xml:space="preserve">egal Costs: </w:t>
            </w:r>
            <w:r w:rsidR="009B6453">
              <w:rPr>
                <w:sz w:val="22"/>
                <w:szCs w:val="22"/>
              </w:rPr>
              <w:t>f</w:t>
            </w:r>
            <w:r w:rsidRPr="007554E7">
              <w:rPr>
                <w:sz w:val="22"/>
                <w:szCs w:val="22"/>
              </w:rPr>
              <w:t>ewer eviction proceedings, challenges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CECD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31465072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E139" w14:textId="7DD10E11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Reduced </w:t>
            </w:r>
            <w:r w:rsidR="009B6453">
              <w:rPr>
                <w:sz w:val="22"/>
                <w:szCs w:val="22"/>
              </w:rPr>
              <w:t>anti-social behaviour</w:t>
            </w:r>
            <w:r w:rsidRPr="007554E7">
              <w:rPr>
                <w:sz w:val="22"/>
                <w:szCs w:val="22"/>
              </w:rPr>
              <w:t xml:space="preserve"> </w:t>
            </w:r>
            <w:r w:rsidR="009B6453">
              <w:rPr>
                <w:sz w:val="22"/>
                <w:szCs w:val="22"/>
              </w:rPr>
              <w:t>i</w:t>
            </w:r>
            <w:r w:rsidRPr="007554E7">
              <w:rPr>
                <w:sz w:val="22"/>
                <w:szCs w:val="22"/>
              </w:rPr>
              <w:t>nterventions: Understanding root causes ([X%] of [X] cases)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42AB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59546B8E" w14:textId="77777777" w:rsidTr="008E7EDC"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F357" w14:textId="3EE65599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 xml:space="preserve">Total </w:t>
            </w:r>
            <w:r w:rsidR="009B6453">
              <w:rPr>
                <w:sz w:val="22"/>
                <w:szCs w:val="22"/>
              </w:rPr>
              <w:t>a</w:t>
            </w:r>
            <w:r w:rsidRPr="007554E7">
              <w:rPr>
                <w:sz w:val="22"/>
                <w:szCs w:val="22"/>
              </w:rPr>
              <w:t xml:space="preserve">nnual </w:t>
            </w:r>
            <w:r w:rsidR="009B6453">
              <w:rPr>
                <w:sz w:val="22"/>
                <w:szCs w:val="22"/>
              </w:rPr>
              <w:t>r</w:t>
            </w:r>
            <w:r w:rsidRPr="007554E7">
              <w:rPr>
                <w:sz w:val="22"/>
                <w:szCs w:val="22"/>
              </w:rPr>
              <w:t>eturn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325A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</w:tbl>
    <w:p w14:paraId="1F1DE17B" w14:textId="77777777" w:rsidR="009B6453" w:rsidRDefault="009B6453" w:rsidP="009B6453">
      <w:pPr>
        <w:spacing w:after="0"/>
        <w:rPr>
          <w:sz w:val="22"/>
          <w:szCs w:val="22"/>
        </w:rPr>
      </w:pPr>
    </w:p>
    <w:p w14:paraId="16AEFDA8" w14:textId="3383C676" w:rsidR="007554E7" w:rsidRPr="009B6453" w:rsidRDefault="007554E7" w:rsidP="009B6453">
      <w:pPr>
        <w:spacing w:after="0"/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 xml:space="preserve">Additional </w:t>
      </w:r>
      <w:r w:rsidR="009B6453" w:rsidRPr="009B6453">
        <w:rPr>
          <w:b/>
          <w:bCs/>
          <w:sz w:val="22"/>
          <w:szCs w:val="22"/>
        </w:rPr>
        <w:t>value:</w:t>
      </w:r>
    </w:p>
    <w:p w14:paraId="5245CC0E" w14:textId="0DC6510C" w:rsidR="007554E7" w:rsidRPr="007554E7" w:rsidRDefault="007554E7" w:rsidP="009B6453">
      <w:pPr>
        <w:pStyle w:val="BulletRCOT"/>
      </w:pPr>
      <w:r w:rsidRPr="007554E7">
        <w:t>I</w:t>
      </w:r>
      <w:r w:rsidR="009B6453">
        <w:t>ncreased</w:t>
      </w:r>
      <w:r w:rsidRPr="007554E7">
        <w:t xml:space="preserve"> resident wellbeing and dignity</w:t>
      </w:r>
    </w:p>
    <w:p w14:paraId="5AB20D80" w14:textId="77777777" w:rsidR="007554E7" w:rsidRPr="007554E7" w:rsidRDefault="007554E7" w:rsidP="009B6453">
      <w:pPr>
        <w:pStyle w:val="BulletRCOT"/>
      </w:pPr>
      <w:r w:rsidRPr="007554E7">
        <w:t>Enhanced organisational reputation</w:t>
      </w:r>
    </w:p>
    <w:p w14:paraId="7BBCCE39" w14:textId="77777777" w:rsidR="007554E7" w:rsidRPr="007554E7" w:rsidRDefault="007554E7" w:rsidP="009B6453">
      <w:pPr>
        <w:pStyle w:val="BulletRCOT"/>
      </w:pPr>
      <w:r w:rsidRPr="007554E7">
        <w:t>Better staff confidence and morale</w:t>
      </w:r>
    </w:p>
    <w:p w14:paraId="15406209" w14:textId="77777777" w:rsidR="007554E7" w:rsidRPr="007554E7" w:rsidRDefault="007554E7" w:rsidP="009B6453">
      <w:pPr>
        <w:pStyle w:val="BulletRCOT"/>
      </w:pPr>
      <w:r w:rsidRPr="007554E7">
        <w:t>Reduced safeguarding risks</w:t>
      </w:r>
    </w:p>
    <w:p w14:paraId="61FDBA86" w14:textId="77777777" w:rsidR="007554E7" w:rsidRPr="007554E7" w:rsidRDefault="007554E7" w:rsidP="009B6453">
      <w:pPr>
        <w:pStyle w:val="BulletRCOT"/>
      </w:pPr>
      <w:r w:rsidRPr="007554E7">
        <w:t>Stronger partnerships with health/social care</w:t>
      </w:r>
    </w:p>
    <w:p w14:paraId="5DE99CEA" w14:textId="77777777" w:rsidR="007554E7" w:rsidRDefault="007554E7" w:rsidP="009B6453">
      <w:pPr>
        <w:pStyle w:val="BulletRCOT"/>
      </w:pPr>
      <w:r w:rsidRPr="007554E7">
        <w:t>Equality Act compliance</w:t>
      </w:r>
    </w:p>
    <w:p w14:paraId="42C47D46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6635AEF9" w14:textId="26E8C150" w:rsidR="007554E7" w:rsidRPr="009B6453" w:rsidRDefault="007554E7" w:rsidP="007554E7">
      <w:pPr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 xml:space="preserve">Financial </w:t>
      </w:r>
      <w:r w:rsidR="009B6453">
        <w:rPr>
          <w:b/>
          <w:bCs/>
          <w:sz w:val="22"/>
          <w:szCs w:val="22"/>
        </w:rPr>
        <w:t>s</w:t>
      </w:r>
      <w:r w:rsidRPr="009B6453">
        <w:rPr>
          <w:b/>
          <w:bCs/>
          <w:sz w:val="22"/>
          <w:szCs w:val="22"/>
        </w:rPr>
        <w:t>ummary:</w:t>
      </w:r>
    </w:p>
    <w:tbl>
      <w:tblPr>
        <w:tblW w:w="4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378"/>
        <w:gridCol w:w="925"/>
        <w:gridCol w:w="1163"/>
      </w:tblGrid>
      <w:tr w:rsidR="007554E7" w:rsidRPr="007554E7" w14:paraId="08DE1FC7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66ADD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630C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Investment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9721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Return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A9AD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Net Benefit</w:t>
            </w:r>
          </w:p>
        </w:tc>
      </w:tr>
      <w:tr w:rsidR="007554E7" w:rsidRPr="007554E7" w14:paraId="253C18D2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C52C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0572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C5CC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05B6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5177D56A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F3F4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8BF2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6E26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7A39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  <w:tr w:rsidR="007554E7" w:rsidRPr="007554E7" w14:paraId="3A281D38" w14:textId="77777777" w:rsidTr="008E7EDC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3552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879F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A9EA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56F7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[£X]</w:t>
            </w:r>
          </w:p>
        </w:tc>
      </w:tr>
    </w:tbl>
    <w:p w14:paraId="01C05E6D" w14:textId="77777777" w:rsidR="009B6453" w:rsidRDefault="009B6453" w:rsidP="009B6453">
      <w:pPr>
        <w:spacing w:after="0"/>
        <w:rPr>
          <w:sz w:val="22"/>
          <w:szCs w:val="22"/>
        </w:rPr>
      </w:pPr>
    </w:p>
    <w:p w14:paraId="72F603B6" w14:textId="4A4CDCD3" w:rsidR="007554E7" w:rsidRPr="009B6453" w:rsidRDefault="007554E7" w:rsidP="007554E7">
      <w:pPr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ROI: [X:1] | Payback: [X months]</w:t>
      </w:r>
    </w:p>
    <w:p w14:paraId="2B07CE19" w14:textId="77777777" w:rsidR="007554E7" w:rsidRPr="007554E7" w:rsidRDefault="007554E7" w:rsidP="007554E7">
      <w:pPr>
        <w:spacing w:after="0"/>
        <w:rPr>
          <w:sz w:val="22"/>
          <w:szCs w:val="22"/>
        </w:rPr>
      </w:pPr>
    </w:p>
    <w:p w14:paraId="01A8161B" w14:textId="198B0283" w:rsidR="007554E7" w:rsidRPr="007554E7" w:rsidRDefault="007554E7" w:rsidP="007554E7">
      <w:pPr>
        <w:pStyle w:val="Heading1"/>
      </w:pPr>
      <w:r w:rsidRPr="007554E7">
        <w:t xml:space="preserve">7. Risks and </w:t>
      </w:r>
      <w:r>
        <w:t>m</w:t>
      </w:r>
      <w:r w:rsidRPr="007554E7">
        <w:t>itigation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6152"/>
      </w:tblGrid>
      <w:tr w:rsidR="007554E7" w:rsidRPr="007554E7" w14:paraId="30C27E9D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4B9EA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1103" w14:textId="77777777" w:rsidR="007554E7" w:rsidRPr="009B6453" w:rsidRDefault="007554E7" w:rsidP="008E7EDC">
            <w:pPr>
              <w:rPr>
                <w:b/>
                <w:bCs/>
                <w:sz w:val="22"/>
                <w:szCs w:val="22"/>
              </w:rPr>
            </w:pPr>
            <w:r w:rsidRPr="009B6453">
              <w:rPr>
                <w:b/>
                <w:bCs/>
                <w:sz w:val="22"/>
                <w:szCs w:val="22"/>
              </w:rPr>
              <w:t>Mitigation</w:t>
            </w:r>
          </w:p>
        </w:tc>
      </w:tr>
      <w:tr w:rsidR="007554E7" w:rsidRPr="007554E7" w14:paraId="3763ECFA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1904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Referrals overwhelm OT capacity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68F9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Clear referral criteria, prioritise by risk, build housing officer capability for routine cases</w:t>
            </w:r>
          </w:p>
        </w:tc>
      </w:tr>
      <w:tr w:rsidR="007554E7" w:rsidRPr="007554E7" w14:paraId="5AE618B0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0877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Resident resistance to intervention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C884F" w14:textId="7C423F1C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Person-centred approach, build trust, voluntary where possible, legal framework where necessary</w:t>
            </w:r>
          </w:p>
        </w:tc>
      </w:tr>
      <w:tr w:rsidR="007554E7" w:rsidRPr="007554E7" w14:paraId="182E26B4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F78C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Housing officers feel deskilled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8701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Frame as support and development, collaborative working, training program</w:t>
            </w:r>
          </w:p>
        </w:tc>
      </w:tr>
      <w:tr w:rsidR="007554E7" w:rsidRPr="007554E7" w14:paraId="0AA3E1D1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F8C40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Multi-agency coordination challenges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4A51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Establish protocols, regular liaison meetings, clarity on roles, senior management support</w:t>
            </w:r>
          </w:p>
        </w:tc>
      </w:tr>
      <w:tr w:rsidR="007554E7" w:rsidRPr="007554E7" w14:paraId="36FC5ED3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C0FA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Safeguarding concerns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1D8C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Robust safeguarding procedures, supervision, escalation pathways, training</w:t>
            </w:r>
          </w:p>
        </w:tc>
      </w:tr>
      <w:tr w:rsidR="007554E7" w:rsidRPr="007554E7" w14:paraId="62509B23" w14:textId="77777777" w:rsidTr="008E7EDC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8BC3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lastRenderedPageBreak/>
              <w:t>Unclear boundaries with social care OT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9C7" w14:textId="77777777" w:rsidR="007554E7" w:rsidRPr="007554E7" w:rsidRDefault="007554E7" w:rsidP="008E7EDC">
            <w:pPr>
              <w:rPr>
                <w:sz w:val="22"/>
                <w:szCs w:val="22"/>
              </w:rPr>
            </w:pPr>
            <w:r w:rsidRPr="007554E7">
              <w:rPr>
                <w:sz w:val="22"/>
                <w:szCs w:val="22"/>
              </w:rPr>
              <w:t>Joint protocol, regular liaison, clarity on housing vs social care responsibilities</w:t>
            </w:r>
          </w:p>
        </w:tc>
      </w:tr>
    </w:tbl>
    <w:p w14:paraId="1552F577" w14:textId="77777777" w:rsidR="007554E7" w:rsidRDefault="007554E7" w:rsidP="007554E7">
      <w:pPr>
        <w:rPr>
          <w:b/>
          <w:sz w:val="22"/>
          <w:szCs w:val="22"/>
        </w:rPr>
      </w:pPr>
    </w:p>
    <w:p w14:paraId="495C715F" w14:textId="6A23108B" w:rsidR="007554E7" w:rsidRPr="007554E7" w:rsidRDefault="007554E7" w:rsidP="007554E7">
      <w:pPr>
        <w:pStyle w:val="Heading1"/>
      </w:pPr>
      <w:r w:rsidRPr="007554E7">
        <w:t xml:space="preserve">8. Implementation </w:t>
      </w:r>
      <w:r>
        <w:t>p</w:t>
      </w:r>
      <w:r w:rsidRPr="007554E7">
        <w:t xml:space="preserve">lan </w:t>
      </w:r>
      <w:r>
        <w:t>and</w:t>
      </w:r>
      <w:r w:rsidRPr="007554E7">
        <w:t xml:space="preserve"> </w:t>
      </w:r>
      <w:r>
        <w:t>s</w:t>
      </w:r>
      <w:r w:rsidRPr="007554E7">
        <w:t xml:space="preserve">uccess </w:t>
      </w:r>
      <w:r>
        <w:t>m</w:t>
      </w:r>
      <w:r w:rsidRPr="007554E7">
        <w:t>etrics</w:t>
      </w:r>
    </w:p>
    <w:p w14:paraId="7A761350" w14:textId="77777777" w:rsidR="007554E7" w:rsidRPr="009B6453" w:rsidRDefault="007554E7" w:rsidP="009B6453">
      <w:pPr>
        <w:spacing w:after="0"/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Phase 1 (Months 1-3): Establishment</w:t>
      </w:r>
    </w:p>
    <w:p w14:paraId="1ECFE10C" w14:textId="77777777" w:rsidR="007554E7" w:rsidRPr="007554E7" w:rsidRDefault="007554E7" w:rsidP="009B6453">
      <w:pPr>
        <w:pStyle w:val="BulletRCOT"/>
      </w:pPr>
      <w:r w:rsidRPr="007554E7">
        <w:t>Recruit Housing Support OT</w:t>
      </w:r>
    </w:p>
    <w:p w14:paraId="27F93BF0" w14:textId="77777777" w:rsidR="007554E7" w:rsidRPr="007554E7" w:rsidRDefault="007554E7" w:rsidP="009B6453">
      <w:pPr>
        <w:pStyle w:val="BulletRCOT"/>
      </w:pPr>
      <w:r w:rsidRPr="007554E7">
        <w:t>Develop referral criteria and protocols</w:t>
      </w:r>
    </w:p>
    <w:p w14:paraId="1F7D30F8" w14:textId="77777777" w:rsidR="007554E7" w:rsidRPr="007554E7" w:rsidRDefault="007554E7" w:rsidP="009B6453">
      <w:pPr>
        <w:pStyle w:val="BulletRCOT"/>
      </w:pPr>
      <w:r w:rsidRPr="007554E7">
        <w:t>Establish multi-agency links and pathways</w:t>
      </w:r>
    </w:p>
    <w:p w14:paraId="20CC5836" w14:textId="77777777" w:rsidR="007554E7" w:rsidRPr="007554E7" w:rsidRDefault="007554E7" w:rsidP="009B6453">
      <w:pPr>
        <w:pStyle w:val="BulletRCOT"/>
      </w:pPr>
      <w:r w:rsidRPr="007554E7">
        <w:t>Brief housing officers and key stakeholders</w:t>
      </w:r>
    </w:p>
    <w:p w14:paraId="5A60D958" w14:textId="77777777" w:rsidR="007554E7" w:rsidRDefault="007554E7" w:rsidP="009B6453">
      <w:pPr>
        <w:pStyle w:val="BulletRCOT"/>
      </w:pPr>
      <w:r w:rsidRPr="007554E7">
        <w:t>Set up case management systems</w:t>
      </w:r>
    </w:p>
    <w:p w14:paraId="5D04B04D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507EFAFB" w14:textId="34CA130A" w:rsidR="007554E7" w:rsidRPr="009B6453" w:rsidRDefault="007554E7" w:rsidP="009B6453">
      <w:pPr>
        <w:spacing w:after="0"/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Phase 2 (Months 4-6): Pilot</w:t>
      </w:r>
    </w:p>
    <w:p w14:paraId="326F4C3F" w14:textId="77777777" w:rsidR="007554E7" w:rsidRPr="007554E7" w:rsidRDefault="007554E7" w:rsidP="009B6453">
      <w:pPr>
        <w:pStyle w:val="BulletRCOT"/>
      </w:pPr>
      <w:r w:rsidRPr="007554E7">
        <w:t>Accept referrals for pilot caseload</w:t>
      </w:r>
    </w:p>
    <w:p w14:paraId="72CCD74A" w14:textId="77777777" w:rsidR="007554E7" w:rsidRPr="007554E7" w:rsidRDefault="007554E7" w:rsidP="009B6453">
      <w:pPr>
        <w:pStyle w:val="BulletRCOT"/>
      </w:pPr>
      <w:r w:rsidRPr="007554E7">
        <w:t>Test protocols and refine</w:t>
      </w:r>
    </w:p>
    <w:p w14:paraId="376C19E2" w14:textId="77777777" w:rsidR="007554E7" w:rsidRPr="007554E7" w:rsidRDefault="007554E7" w:rsidP="009B6453">
      <w:pPr>
        <w:pStyle w:val="BulletRCOT"/>
      </w:pPr>
      <w:r w:rsidRPr="007554E7">
        <w:t>Build relationships with health/social care partners</w:t>
      </w:r>
    </w:p>
    <w:p w14:paraId="4929D170" w14:textId="77777777" w:rsidR="007554E7" w:rsidRPr="007554E7" w:rsidRDefault="007554E7" w:rsidP="009B6453">
      <w:pPr>
        <w:pStyle w:val="BulletRCOT"/>
      </w:pPr>
      <w:r w:rsidRPr="007554E7">
        <w:t>Deliver initial training to housing officers</w:t>
      </w:r>
    </w:p>
    <w:p w14:paraId="64548376" w14:textId="77777777" w:rsidR="007554E7" w:rsidRDefault="007554E7" w:rsidP="009B6453">
      <w:pPr>
        <w:pStyle w:val="BulletRCOT"/>
      </w:pPr>
      <w:r w:rsidRPr="007554E7">
        <w:t>Collect baseline data</w:t>
      </w:r>
    </w:p>
    <w:p w14:paraId="38CE1C4B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1944348A" w14:textId="77777777" w:rsidR="007554E7" w:rsidRPr="009B6453" w:rsidRDefault="007554E7" w:rsidP="009B6453">
      <w:pPr>
        <w:spacing w:after="0"/>
        <w:rPr>
          <w:b/>
          <w:bCs/>
          <w:sz w:val="22"/>
          <w:szCs w:val="22"/>
        </w:rPr>
      </w:pPr>
      <w:r w:rsidRPr="009B6453">
        <w:rPr>
          <w:b/>
          <w:bCs/>
          <w:sz w:val="22"/>
          <w:szCs w:val="22"/>
        </w:rPr>
        <w:t>Phase 3 (Months 7-12): Full Implementation</w:t>
      </w:r>
    </w:p>
    <w:p w14:paraId="68A05079" w14:textId="77777777" w:rsidR="007554E7" w:rsidRPr="007554E7" w:rsidRDefault="007554E7" w:rsidP="009B6453">
      <w:pPr>
        <w:pStyle w:val="BulletRCOT"/>
      </w:pPr>
      <w:r w:rsidRPr="007554E7">
        <w:t>Expand to full caseload</w:t>
      </w:r>
    </w:p>
    <w:p w14:paraId="693C1097" w14:textId="77777777" w:rsidR="007554E7" w:rsidRPr="007554E7" w:rsidRDefault="007554E7" w:rsidP="009B6453">
      <w:pPr>
        <w:pStyle w:val="BulletRCOT"/>
      </w:pPr>
      <w:r w:rsidRPr="007554E7">
        <w:t>Demonstrate impact through case studies</w:t>
      </w:r>
    </w:p>
    <w:p w14:paraId="40555A81" w14:textId="77777777" w:rsidR="007554E7" w:rsidRPr="007554E7" w:rsidRDefault="007554E7" w:rsidP="009B6453">
      <w:pPr>
        <w:pStyle w:val="BulletRCOT"/>
      </w:pPr>
      <w:r w:rsidRPr="007554E7">
        <w:t>Regular multi-agency meetings established</w:t>
      </w:r>
    </w:p>
    <w:p w14:paraId="257DE50D" w14:textId="77777777" w:rsidR="007554E7" w:rsidRPr="007554E7" w:rsidRDefault="007554E7" w:rsidP="009B6453">
      <w:pPr>
        <w:pStyle w:val="BulletRCOT"/>
      </w:pPr>
      <w:r w:rsidRPr="007554E7">
        <w:t>Training program for housing officers</w:t>
      </w:r>
    </w:p>
    <w:p w14:paraId="69C8E38F" w14:textId="77777777" w:rsidR="007554E7" w:rsidRDefault="007554E7" w:rsidP="009B6453">
      <w:pPr>
        <w:pStyle w:val="BulletRCOT"/>
      </w:pPr>
      <w:r w:rsidRPr="007554E7">
        <w:t>Annual review and refinement</w:t>
      </w:r>
    </w:p>
    <w:p w14:paraId="6FCEB456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5ACEDBDC" w14:textId="77777777" w:rsidR="007554E7" w:rsidRPr="007554E7" w:rsidRDefault="007554E7" w:rsidP="009B6453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>Stakeholders:</w:t>
      </w:r>
    </w:p>
    <w:p w14:paraId="4CD56AE0" w14:textId="77777777" w:rsidR="007554E7" w:rsidRPr="007554E7" w:rsidRDefault="007554E7" w:rsidP="009B6453">
      <w:pPr>
        <w:pStyle w:val="BulletRCOT"/>
      </w:pPr>
      <w:r w:rsidRPr="007554E7">
        <w:t>Housing management and lettings teams</w:t>
      </w:r>
    </w:p>
    <w:p w14:paraId="3271F90E" w14:textId="77777777" w:rsidR="007554E7" w:rsidRPr="007554E7" w:rsidRDefault="007554E7" w:rsidP="009B6453">
      <w:pPr>
        <w:pStyle w:val="BulletRCOT"/>
      </w:pPr>
      <w:r w:rsidRPr="007554E7">
        <w:t>Adult social care (safeguarding, OT teams)</w:t>
      </w:r>
    </w:p>
    <w:p w14:paraId="596C5438" w14:textId="77777777" w:rsidR="007554E7" w:rsidRPr="007554E7" w:rsidRDefault="007554E7" w:rsidP="009B6453">
      <w:pPr>
        <w:pStyle w:val="BulletRCOT"/>
      </w:pPr>
      <w:r w:rsidRPr="007554E7">
        <w:t>Mental health services</w:t>
      </w:r>
    </w:p>
    <w:p w14:paraId="2BE7C2C9" w14:textId="77777777" w:rsidR="007554E7" w:rsidRPr="007554E7" w:rsidRDefault="007554E7" w:rsidP="009B6453">
      <w:pPr>
        <w:pStyle w:val="BulletRCOT"/>
      </w:pPr>
      <w:r w:rsidRPr="007554E7">
        <w:t>Community health services</w:t>
      </w:r>
    </w:p>
    <w:p w14:paraId="752855B5" w14:textId="77777777" w:rsidR="007554E7" w:rsidRPr="007554E7" w:rsidRDefault="007554E7" w:rsidP="009B6453">
      <w:pPr>
        <w:pStyle w:val="BulletRCOT"/>
      </w:pPr>
      <w:r w:rsidRPr="007554E7">
        <w:t>GPs and hospitals</w:t>
      </w:r>
    </w:p>
    <w:p w14:paraId="276D05E7" w14:textId="77777777" w:rsidR="007554E7" w:rsidRPr="007554E7" w:rsidRDefault="007554E7" w:rsidP="009B6453">
      <w:pPr>
        <w:pStyle w:val="BulletRCOT"/>
      </w:pPr>
      <w:r w:rsidRPr="007554E7">
        <w:t>Fire service</w:t>
      </w:r>
    </w:p>
    <w:p w14:paraId="1C884038" w14:textId="77777777" w:rsidR="007554E7" w:rsidRPr="007554E7" w:rsidRDefault="007554E7" w:rsidP="009B6453">
      <w:pPr>
        <w:pStyle w:val="BulletRCOT"/>
      </w:pPr>
      <w:r w:rsidRPr="007554E7">
        <w:t>Substance use services</w:t>
      </w:r>
    </w:p>
    <w:p w14:paraId="32145AE5" w14:textId="77777777" w:rsidR="007554E7" w:rsidRPr="007554E7" w:rsidRDefault="007554E7" w:rsidP="009B6453">
      <w:pPr>
        <w:pStyle w:val="BulletRCOT"/>
      </w:pPr>
      <w:r w:rsidRPr="007554E7">
        <w:t>Homelessness services</w:t>
      </w:r>
    </w:p>
    <w:p w14:paraId="51EFBFA8" w14:textId="77777777" w:rsidR="007554E7" w:rsidRDefault="007554E7" w:rsidP="009B6453">
      <w:pPr>
        <w:pStyle w:val="BulletRCOT"/>
      </w:pPr>
      <w:r w:rsidRPr="007554E7">
        <w:t>Residents and advocacy groups</w:t>
      </w:r>
    </w:p>
    <w:p w14:paraId="1C6B54DD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75988045" w14:textId="0553DB05" w:rsidR="007554E7" w:rsidRPr="007554E7" w:rsidRDefault="007554E7" w:rsidP="009B6453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 xml:space="preserve">Success </w:t>
      </w:r>
      <w:r w:rsidR="009B6453">
        <w:rPr>
          <w:b/>
          <w:sz w:val="22"/>
          <w:szCs w:val="22"/>
        </w:rPr>
        <w:t>m</w:t>
      </w:r>
      <w:r w:rsidRPr="007554E7">
        <w:rPr>
          <w:b/>
          <w:sz w:val="22"/>
          <w:szCs w:val="22"/>
        </w:rPr>
        <w:t>etrics:</w:t>
      </w:r>
    </w:p>
    <w:p w14:paraId="767DDB03" w14:textId="77777777" w:rsidR="007554E7" w:rsidRPr="007554E7" w:rsidRDefault="007554E7" w:rsidP="009B6453">
      <w:pPr>
        <w:pStyle w:val="BulletRCOT"/>
      </w:pPr>
      <w:r w:rsidRPr="007554E7">
        <w:t>Residents supported: Target [X] per year</w:t>
      </w:r>
    </w:p>
    <w:p w14:paraId="5547FD59" w14:textId="77777777" w:rsidR="007554E7" w:rsidRPr="007554E7" w:rsidRDefault="007554E7" w:rsidP="009B6453">
      <w:pPr>
        <w:pStyle w:val="BulletRCOT"/>
      </w:pPr>
      <w:r w:rsidRPr="007554E7">
        <w:t>Tenancy sustainment rate: Target [X%] of cases supported remain housed</w:t>
      </w:r>
    </w:p>
    <w:p w14:paraId="45CF1187" w14:textId="77777777" w:rsidR="007554E7" w:rsidRPr="007554E7" w:rsidRDefault="007554E7" w:rsidP="009B6453">
      <w:pPr>
        <w:pStyle w:val="BulletRCOT"/>
      </w:pPr>
      <w:r w:rsidRPr="007554E7">
        <w:t>Evictions prevented: Target [X] per year</w:t>
      </w:r>
    </w:p>
    <w:p w14:paraId="33E04BD9" w14:textId="77777777" w:rsidR="007554E7" w:rsidRPr="007554E7" w:rsidRDefault="007554E7" w:rsidP="009B6453">
      <w:pPr>
        <w:pStyle w:val="BulletRCOT"/>
      </w:pPr>
      <w:r w:rsidRPr="007554E7">
        <w:t>Complex rehousing assessments: Target [X] per year</w:t>
      </w:r>
    </w:p>
    <w:p w14:paraId="3ECA9B93" w14:textId="77777777" w:rsidR="007554E7" w:rsidRPr="007554E7" w:rsidRDefault="007554E7" w:rsidP="009B6453">
      <w:pPr>
        <w:pStyle w:val="BulletRCOT"/>
      </w:pPr>
      <w:r w:rsidRPr="007554E7">
        <w:t>First-time suitability rate: Target [X%]</w:t>
      </w:r>
    </w:p>
    <w:p w14:paraId="7DBF24C6" w14:textId="77777777" w:rsidR="007554E7" w:rsidRPr="007554E7" w:rsidRDefault="007554E7" w:rsidP="009B6453">
      <w:pPr>
        <w:pStyle w:val="BulletRCOT"/>
      </w:pPr>
      <w:r w:rsidRPr="007554E7">
        <w:t>Hospital discharges facilitated: Target [X] per year</w:t>
      </w:r>
    </w:p>
    <w:p w14:paraId="28F2BFFC" w14:textId="77777777" w:rsidR="007554E7" w:rsidRPr="007554E7" w:rsidRDefault="007554E7" w:rsidP="009B6453">
      <w:pPr>
        <w:pStyle w:val="BulletRCOT"/>
      </w:pPr>
      <w:r w:rsidRPr="007554E7">
        <w:t>Resident satisfaction: Target [X%]</w:t>
      </w:r>
    </w:p>
    <w:p w14:paraId="03BBEA5C" w14:textId="77777777" w:rsidR="007554E7" w:rsidRPr="007554E7" w:rsidRDefault="007554E7" w:rsidP="009B6453">
      <w:pPr>
        <w:pStyle w:val="BulletRCOT"/>
      </w:pPr>
      <w:r w:rsidRPr="007554E7">
        <w:t>Housing officer confidence: Target [increased]</w:t>
      </w:r>
    </w:p>
    <w:p w14:paraId="5B1A8DA8" w14:textId="77777777" w:rsidR="007554E7" w:rsidRDefault="007554E7" w:rsidP="009B6453">
      <w:pPr>
        <w:pStyle w:val="BulletRCOT"/>
      </w:pPr>
      <w:r w:rsidRPr="007554E7">
        <w:lastRenderedPageBreak/>
        <w:t>ROI demonstrated: Target [X:1]</w:t>
      </w:r>
    </w:p>
    <w:p w14:paraId="27F7B433" w14:textId="77777777" w:rsidR="009B6453" w:rsidRPr="007554E7" w:rsidRDefault="009B6453" w:rsidP="009B6453">
      <w:pPr>
        <w:pStyle w:val="BulletRCOT"/>
        <w:numPr>
          <w:ilvl w:val="0"/>
          <w:numId w:val="0"/>
        </w:numPr>
      </w:pPr>
    </w:p>
    <w:p w14:paraId="24B955C0" w14:textId="3F624804" w:rsidR="007554E7" w:rsidRPr="007554E7" w:rsidRDefault="007554E7" w:rsidP="007554E7">
      <w:pPr>
        <w:pStyle w:val="Heading1"/>
      </w:pPr>
      <w:r w:rsidRPr="007554E7">
        <w:t xml:space="preserve">9. Conclusion and </w:t>
      </w:r>
      <w:r>
        <w:t>r</w:t>
      </w:r>
      <w:r w:rsidRPr="007554E7">
        <w:t>ecommendations</w:t>
      </w:r>
    </w:p>
    <w:p w14:paraId="751B79EB" w14:textId="2FFDFFA5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Summary:</w:t>
      </w:r>
      <w:r w:rsidRPr="007554E7">
        <w:rPr>
          <w:sz w:val="22"/>
          <w:szCs w:val="22"/>
        </w:rPr>
        <w:t xml:space="preserve"> </w:t>
      </w:r>
      <w:r w:rsidR="009B6453">
        <w:rPr>
          <w:sz w:val="22"/>
          <w:szCs w:val="22"/>
        </w:rPr>
        <w:t>[</w:t>
      </w:r>
      <w:r w:rsidRPr="007554E7">
        <w:rPr>
          <w:sz w:val="22"/>
          <w:szCs w:val="22"/>
        </w:rPr>
        <w:t>Organisation] faces challenges supporting vulnerable residents with complex health conditions. [X] evictions annually have health/disability as</w:t>
      </w:r>
      <w:r w:rsidR="009B6453">
        <w:rPr>
          <w:sz w:val="22"/>
          <w:szCs w:val="22"/>
        </w:rPr>
        <w:t xml:space="preserve"> a</w:t>
      </w:r>
      <w:r w:rsidRPr="007554E7">
        <w:rPr>
          <w:sz w:val="22"/>
          <w:szCs w:val="22"/>
        </w:rPr>
        <w:t xml:space="preserve"> contributing factor, costing [£X] each. Poor matching in rehousing leads to failed tenancies and costly rehousing cycles. Housing officers lack clinical expertise to assess and intervene appropriately.</w:t>
      </w:r>
    </w:p>
    <w:p w14:paraId="3A211E0A" w14:textId="77777777" w:rsidR="007554E7" w:rsidRPr="007554E7" w:rsidRDefault="007554E7" w:rsidP="007554E7">
      <w:pPr>
        <w:rPr>
          <w:sz w:val="22"/>
          <w:szCs w:val="22"/>
        </w:rPr>
      </w:pPr>
      <w:r w:rsidRPr="007554E7">
        <w:rPr>
          <w:sz w:val="22"/>
          <w:szCs w:val="22"/>
        </w:rPr>
        <w:t>Investing [£X] in a Housing Support OT will deliver [£X] in returns through prevented evictions, better allocations, and improved health outcomes - an ROI of [X:1].</w:t>
      </w:r>
    </w:p>
    <w:p w14:paraId="238A2E3E" w14:textId="3D4D3DD1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>Evidence shows this works</w:t>
      </w:r>
      <w:r w:rsidR="00545CBF">
        <w:rPr>
          <w:b/>
          <w:bCs/>
          <w:sz w:val="22"/>
          <w:szCs w:val="22"/>
        </w:rPr>
        <w:t>:</w:t>
      </w:r>
      <w:r w:rsidRPr="007554E7">
        <w:rPr>
          <w:sz w:val="22"/>
          <w:szCs w:val="22"/>
        </w:rPr>
        <w:t xml:space="preserve"> Milton Keynes integrated model reduces waits and improves outcomes. Nottinghamshire commissioner confirms OT input is </w:t>
      </w:r>
      <w:r w:rsidR="00545CBF">
        <w:rPr>
          <w:sz w:val="22"/>
          <w:szCs w:val="22"/>
        </w:rPr>
        <w:t>crucial</w:t>
      </w:r>
      <w:r w:rsidRPr="007554E7">
        <w:rPr>
          <w:sz w:val="22"/>
          <w:szCs w:val="22"/>
        </w:rPr>
        <w:t xml:space="preserve"> to successful supported accommodation.</w:t>
      </w:r>
    </w:p>
    <w:p w14:paraId="071CB461" w14:textId="336D3219" w:rsidR="007554E7" w:rsidRPr="007554E7" w:rsidRDefault="007554E7" w:rsidP="007554E7">
      <w:pPr>
        <w:rPr>
          <w:sz w:val="22"/>
          <w:szCs w:val="22"/>
        </w:rPr>
      </w:pPr>
      <w:r w:rsidRPr="00545CBF">
        <w:rPr>
          <w:sz w:val="22"/>
          <w:szCs w:val="22"/>
        </w:rPr>
        <w:t xml:space="preserve">This </w:t>
      </w:r>
      <w:r w:rsidR="00545CBF">
        <w:rPr>
          <w:sz w:val="22"/>
          <w:szCs w:val="22"/>
        </w:rPr>
        <w:t xml:space="preserve">approach </w:t>
      </w:r>
      <w:r w:rsidRPr="00545CBF">
        <w:rPr>
          <w:sz w:val="22"/>
          <w:szCs w:val="22"/>
        </w:rPr>
        <w:t>support</w:t>
      </w:r>
      <w:r w:rsidR="00545CBF">
        <w:rPr>
          <w:sz w:val="22"/>
          <w:szCs w:val="22"/>
        </w:rPr>
        <w:t>s</w:t>
      </w:r>
      <w:r w:rsidRPr="00545CBF">
        <w:rPr>
          <w:sz w:val="22"/>
          <w:szCs w:val="22"/>
        </w:rPr>
        <w:t xml:space="preserve"> vulnerable residents</w:t>
      </w:r>
      <w:r w:rsidRPr="007554E7">
        <w:rPr>
          <w:sz w:val="22"/>
          <w:szCs w:val="22"/>
        </w:rPr>
        <w:t xml:space="preserve"> while protecting tenancies, organisational resources, and community wellbeing.</w:t>
      </w:r>
    </w:p>
    <w:p w14:paraId="73409506" w14:textId="77777777" w:rsidR="007554E7" w:rsidRPr="007554E7" w:rsidRDefault="007554E7" w:rsidP="00545CBF">
      <w:pPr>
        <w:spacing w:after="0"/>
        <w:rPr>
          <w:b/>
          <w:sz w:val="22"/>
          <w:szCs w:val="22"/>
        </w:rPr>
      </w:pPr>
      <w:r w:rsidRPr="007554E7">
        <w:rPr>
          <w:b/>
          <w:sz w:val="22"/>
          <w:szCs w:val="22"/>
        </w:rPr>
        <w:t>Approval sought for:</w:t>
      </w:r>
    </w:p>
    <w:p w14:paraId="0FA1F255" w14:textId="77777777" w:rsidR="007554E7" w:rsidRPr="007554E7" w:rsidRDefault="007554E7" w:rsidP="00545CBF">
      <w:pPr>
        <w:pStyle w:val="BulletRCOT"/>
      </w:pPr>
      <w:r w:rsidRPr="007554E7">
        <w:t>Funding of [£X] for dedicated Housing Support OT role</w:t>
      </w:r>
    </w:p>
    <w:p w14:paraId="52DA50C3" w14:textId="77777777" w:rsidR="007554E7" w:rsidRPr="007554E7" w:rsidRDefault="007554E7" w:rsidP="00545CBF">
      <w:pPr>
        <w:pStyle w:val="BulletRCOT"/>
      </w:pPr>
      <w:r w:rsidRPr="007554E7">
        <w:t>Authority to recruit to Band [X]</w:t>
      </w:r>
    </w:p>
    <w:p w14:paraId="1C593749" w14:textId="77777777" w:rsidR="007554E7" w:rsidRPr="007554E7" w:rsidRDefault="007554E7" w:rsidP="00545CBF">
      <w:pPr>
        <w:pStyle w:val="BulletRCOT"/>
      </w:pPr>
      <w:r w:rsidRPr="007554E7">
        <w:t>Development of referral protocols and multi-agency pathways</w:t>
      </w:r>
    </w:p>
    <w:p w14:paraId="25AABB52" w14:textId="77777777" w:rsidR="007554E7" w:rsidRPr="007554E7" w:rsidRDefault="007554E7" w:rsidP="00545CBF">
      <w:pPr>
        <w:pStyle w:val="BulletRCOT"/>
      </w:pPr>
      <w:r w:rsidRPr="007554E7">
        <w:t>Integration into housing management and safeguarding processes</w:t>
      </w:r>
    </w:p>
    <w:p w14:paraId="21E0FD6D" w14:textId="77777777" w:rsidR="007554E7" w:rsidRDefault="007554E7" w:rsidP="00545CBF">
      <w:pPr>
        <w:pStyle w:val="BulletRCOT"/>
      </w:pPr>
      <w:r w:rsidRPr="007554E7">
        <w:t>Quarterly monitoring and annual evaluation</w:t>
      </w:r>
    </w:p>
    <w:p w14:paraId="4CECB455" w14:textId="77777777" w:rsidR="00545CBF" w:rsidRPr="007554E7" w:rsidRDefault="00545CBF" w:rsidP="00545CBF">
      <w:pPr>
        <w:pStyle w:val="BulletRCOT"/>
        <w:numPr>
          <w:ilvl w:val="0"/>
          <w:numId w:val="0"/>
        </w:numPr>
      </w:pPr>
    </w:p>
    <w:p w14:paraId="4F6700C2" w14:textId="30C8E9C9" w:rsidR="007554E7" w:rsidRPr="007554E7" w:rsidRDefault="007554E7" w:rsidP="007554E7">
      <w:pPr>
        <w:rPr>
          <w:sz w:val="22"/>
          <w:szCs w:val="22"/>
        </w:rPr>
      </w:pPr>
      <w:r w:rsidRPr="007554E7">
        <w:rPr>
          <w:b/>
          <w:bCs/>
          <w:sz w:val="22"/>
          <w:szCs w:val="22"/>
        </w:rPr>
        <w:t xml:space="preserve">Next </w:t>
      </w:r>
      <w:r w:rsidR="00545CBF">
        <w:rPr>
          <w:b/>
          <w:bCs/>
          <w:sz w:val="22"/>
          <w:szCs w:val="22"/>
        </w:rPr>
        <w:t>s</w:t>
      </w:r>
      <w:r w:rsidRPr="007554E7">
        <w:rPr>
          <w:b/>
          <w:bCs/>
          <w:sz w:val="22"/>
          <w:szCs w:val="22"/>
        </w:rPr>
        <w:t>teps:</w:t>
      </w:r>
      <w:r w:rsidRPr="007554E7">
        <w:rPr>
          <w:sz w:val="22"/>
          <w:szCs w:val="22"/>
        </w:rPr>
        <w:br/>
        <w:t>Recruitment commences [date], protocols developed [date], service begins [date], first quarterly report [date]</w:t>
      </w:r>
    </w:p>
    <w:p w14:paraId="3D94FB3A" w14:textId="09A02142" w:rsidR="007554E7" w:rsidRDefault="00BD73CE" w:rsidP="00BD73CE">
      <w:pPr>
        <w:pStyle w:val="Heading1"/>
      </w:pPr>
      <w:r>
        <w:t>References</w:t>
      </w:r>
    </w:p>
    <w:p w14:paraId="32979A88" w14:textId="26F2E5CA" w:rsidR="00BD73CE" w:rsidRPr="00545CBF" w:rsidRDefault="00BD73CE" w:rsidP="00BD73CE">
      <w:pPr>
        <w:rPr>
          <w:sz w:val="22"/>
          <w:szCs w:val="22"/>
        </w:rPr>
      </w:pPr>
      <w:r w:rsidRPr="00E94B68">
        <w:rPr>
          <w:sz w:val="22"/>
          <w:szCs w:val="22"/>
        </w:rPr>
        <w:t xml:space="preserve">Royal College of Occupational Therapists (2026) </w:t>
      </w:r>
      <w:r w:rsidRPr="00E94B68">
        <w:rPr>
          <w:i/>
          <w:iCs/>
          <w:sz w:val="22"/>
          <w:szCs w:val="22"/>
        </w:rPr>
        <w:t xml:space="preserve">Building Health into Homes: Strategic Report. </w:t>
      </w:r>
      <w:r w:rsidRPr="00E94B68">
        <w:rPr>
          <w:sz w:val="22"/>
          <w:szCs w:val="22"/>
        </w:rPr>
        <w:t xml:space="preserve">Available at: </w:t>
      </w:r>
      <w:hyperlink r:id="rId11" w:history="1">
        <w:r w:rsidRPr="004B3B43">
          <w:rPr>
            <w:rStyle w:val="Hyperlink"/>
            <w:sz w:val="22"/>
            <w:szCs w:val="22"/>
          </w:rPr>
          <w:t>Strategic report: Housing and health | RCOT</w:t>
        </w:r>
      </w:hyperlink>
      <w:r>
        <w:rPr>
          <w:sz w:val="22"/>
          <w:szCs w:val="22"/>
        </w:rPr>
        <w:t xml:space="preserve"> Accessed on 22.06.26</w:t>
      </w:r>
      <w:r w:rsidRPr="00E94B68">
        <w:rPr>
          <w:sz w:val="22"/>
          <w:szCs w:val="22"/>
        </w:rPr>
        <w:t xml:space="preserve"> </w:t>
      </w:r>
    </w:p>
    <w:p w14:paraId="49AB7F5E" w14:textId="77777777" w:rsidR="30F6E5AE" w:rsidRPr="007554E7" w:rsidRDefault="30F6E5AE" w:rsidP="007554E7">
      <w:pPr>
        <w:rPr>
          <w:sz w:val="22"/>
          <w:szCs w:val="22"/>
        </w:rPr>
      </w:pPr>
    </w:p>
    <w:sectPr w:rsidR="30F6E5AE" w:rsidRPr="007554E7" w:rsidSect="0081212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440" w:right="1080" w:bottom="1440" w:left="1080" w:header="0" w:footer="572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EBF4" w14:textId="77777777" w:rsidR="00DD225D" w:rsidRDefault="00DD225D" w:rsidP="00896FCA">
      <w:r>
        <w:separator/>
      </w:r>
    </w:p>
  </w:endnote>
  <w:endnote w:type="continuationSeparator" w:id="0">
    <w:p w14:paraId="7999B236" w14:textId="77777777" w:rsidR="00DD225D" w:rsidRDefault="00DD225D" w:rsidP="00896FCA">
      <w:r>
        <w:continuationSeparator/>
      </w:r>
    </w:p>
  </w:endnote>
  <w:endnote w:type="continuationNotice" w:id="1">
    <w:p w14:paraId="53DAA116" w14:textId="77777777" w:rsidR="00DD225D" w:rsidRDefault="00DD2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0CA9" w14:textId="63585671" w:rsidR="00896FCA" w:rsidRPr="00A5434C" w:rsidRDefault="00545CBF" w:rsidP="00816269">
    <w:pPr>
      <w:pStyle w:val="FooterRCOT"/>
    </w:pPr>
    <w:r>
      <w:t>Building Health into Homes: Operational Toolkit – June 2026</w:t>
    </w:r>
    <w:r w:rsidR="00FD5879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  <w:p w14:paraId="176863D9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95DC" w14:textId="3EDF6D0D" w:rsidR="002A0FE6" w:rsidRPr="00A5434C" w:rsidRDefault="00FD5879" w:rsidP="00816269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1D3955">
      <w:rPr>
        <w:noProof/>
      </w:rPr>
      <w:t>6 July 2026</w:t>
    </w:r>
    <w:r>
      <w:fldChar w:fldCharType="end"/>
    </w:r>
    <w:r w:rsidR="001A64D0"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14:paraId="53440544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61CB" w14:textId="77777777" w:rsidR="00DD225D" w:rsidRDefault="00DD225D" w:rsidP="00896FCA">
      <w:r>
        <w:separator/>
      </w:r>
    </w:p>
  </w:footnote>
  <w:footnote w:type="continuationSeparator" w:id="0">
    <w:p w14:paraId="4CB0D116" w14:textId="77777777" w:rsidR="00DD225D" w:rsidRDefault="00DD225D" w:rsidP="00896FCA">
      <w:r>
        <w:continuationSeparator/>
      </w:r>
    </w:p>
  </w:footnote>
  <w:footnote w:type="continuationNotice" w:id="1">
    <w:p w14:paraId="08E241F0" w14:textId="77777777" w:rsidR="00DD225D" w:rsidRDefault="00DD2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4CCB294B" w14:textId="77777777" w:rsidTr="00231EFC">
      <w:trPr>
        <w:trHeight w:val="1398"/>
      </w:trPr>
      <w:tc>
        <w:tcPr>
          <w:tcW w:w="2378" w:type="pct"/>
        </w:tcPr>
        <w:p w14:paraId="0A679FD0" w14:textId="77777777" w:rsidR="00231EFC" w:rsidRPr="008437D5" w:rsidRDefault="00231EFC" w:rsidP="00231EFC">
          <w:pPr>
            <w:ind w:firstLine="142"/>
          </w:pPr>
        </w:p>
      </w:tc>
      <w:tc>
        <w:tcPr>
          <w:tcW w:w="2622" w:type="pct"/>
        </w:tcPr>
        <w:p w14:paraId="446AB5BF" w14:textId="77777777" w:rsidR="00231EFC" w:rsidRPr="008437D5" w:rsidRDefault="00231EFC" w:rsidP="00231EFC"/>
      </w:tc>
    </w:tr>
  </w:tbl>
  <w:p w14:paraId="28FBF1F9" w14:textId="77777777" w:rsidR="00231EFC" w:rsidRPr="008437D5" w:rsidRDefault="00231EFC" w:rsidP="00231EFC">
    <w:pPr>
      <w:ind w:firstLine="142"/>
    </w:pPr>
  </w:p>
  <w:p w14:paraId="647E9B1F" w14:textId="77777777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45DFAF8E" w14:textId="77777777" w:rsidTr="009802F0">
      <w:trPr>
        <w:trHeight w:val="2656"/>
      </w:trPr>
      <w:tc>
        <w:tcPr>
          <w:tcW w:w="2378" w:type="pct"/>
        </w:tcPr>
        <w:p w14:paraId="00BD318C" w14:textId="77777777" w:rsidR="00C746A1" w:rsidRPr="008437D5" w:rsidRDefault="00C746A1" w:rsidP="00231EFC">
          <w:pPr>
            <w:ind w:firstLine="142"/>
          </w:pPr>
          <w:r w:rsidRPr="008437D5">
            <w:rPr>
              <w:noProof/>
            </w:rPr>
            <w:drawing>
              <wp:inline distT="0" distB="0" distL="0" distR="0" wp14:anchorId="1E7ACDFF" wp14:editId="683D6D27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75227497" w14:textId="77777777" w:rsidR="00C746A1" w:rsidRPr="008437D5" w:rsidRDefault="00C746A1" w:rsidP="008437D5"/>
      </w:tc>
    </w:tr>
  </w:tbl>
  <w:p w14:paraId="315EB2C7" w14:textId="77777777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17943">
    <w:abstractNumId w:val="2"/>
  </w:num>
  <w:num w:numId="2" w16cid:durableId="729572866">
    <w:abstractNumId w:val="3"/>
  </w:num>
  <w:num w:numId="3" w16cid:durableId="161512410">
    <w:abstractNumId w:val="6"/>
  </w:num>
  <w:num w:numId="4" w16cid:durableId="1916696057">
    <w:abstractNumId w:val="1"/>
  </w:num>
  <w:num w:numId="5" w16cid:durableId="469059071">
    <w:abstractNumId w:val="4"/>
  </w:num>
  <w:num w:numId="6" w16cid:durableId="2053142002">
    <w:abstractNumId w:val="5"/>
  </w:num>
  <w:num w:numId="7" w16cid:durableId="16182970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E7"/>
    <w:rsid w:val="00011038"/>
    <w:rsid w:val="00013ECE"/>
    <w:rsid w:val="00014B49"/>
    <w:rsid w:val="000169EA"/>
    <w:rsid w:val="000169F0"/>
    <w:rsid w:val="00016CA4"/>
    <w:rsid w:val="00023A4D"/>
    <w:rsid w:val="00031E18"/>
    <w:rsid w:val="00037C8E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016E"/>
    <w:rsid w:val="000D6FFA"/>
    <w:rsid w:val="000E3229"/>
    <w:rsid w:val="000E7036"/>
    <w:rsid w:val="000E78F4"/>
    <w:rsid w:val="000F0950"/>
    <w:rsid w:val="00102CBB"/>
    <w:rsid w:val="001046E2"/>
    <w:rsid w:val="0012415E"/>
    <w:rsid w:val="00147040"/>
    <w:rsid w:val="00157FDD"/>
    <w:rsid w:val="001675A5"/>
    <w:rsid w:val="00175BF7"/>
    <w:rsid w:val="0019061D"/>
    <w:rsid w:val="00190BA9"/>
    <w:rsid w:val="001A64D0"/>
    <w:rsid w:val="001D3955"/>
    <w:rsid w:val="001F1FFF"/>
    <w:rsid w:val="00204468"/>
    <w:rsid w:val="0020484D"/>
    <w:rsid w:val="00211DD7"/>
    <w:rsid w:val="0022406A"/>
    <w:rsid w:val="00231EFC"/>
    <w:rsid w:val="00240D20"/>
    <w:rsid w:val="002670F4"/>
    <w:rsid w:val="00283568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C1EC5"/>
    <w:rsid w:val="002C6A91"/>
    <w:rsid w:val="002D3051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64A47"/>
    <w:rsid w:val="003704AC"/>
    <w:rsid w:val="00375230"/>
    <w:rsid w:val="003829D6"/>
    <w:rsid w:val="00383769"/>
    <w:rsid w:val="00391FE9"/>
    <w:rsid w:val="003978E2"/>
    <w:rsid w:val="003B1A03"/>
    <w:rsid w:val="003C0401"/>
    <w:rsid w:val="003C7E85"/>
    <w:rsid w:val="003F03C6"/>
    <w:rsid w:val="003F1296"/>
    <w:rsid w:val="003F5866"/>
    <w:rsid w:val="004034C2"/>
    <w:rsid w:val="00407281"/>
    <w:rsid w:val="004118DC"/>
    <w:rsid w:val="00444249"/>
    <w:rsid w:val="004572F2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E34B0"/>
    <w:rsid w:val="00502E87"/>
    <w:rsid w:val="0052067B"/>
    <w:rsid w:val="00525465"/>
    <w:rsid w:val="00525A2A"/>
    <w:rsid w:val="005371A3"/>
    <w:rsid w:val="005429A4"/>
    <w:rsid w:val="00544122"/>
    <w:rsid w:val="00545CBF"/>
    <w:rsid w:val="0055163E"/>
    <w:rsid w:val="005520F4"/>
    <w:rsid w:val="00552C5D"/>
    <w:rsid w:val="0055650E"/>
    <w:rsid w:val="00560A27"/>
    <w:rsid w:val="00573774"/>
    <w:rsid w:val="00596A62"/>
    <w:rsid w:val="00596AF2"/>
    <w:rsid w:val="005A475F"/>
    <w:rsid w:val="005A5EAB"/>
    <w:rsid w:val="005B4CDA"/>
    <w:rsid w:val="005C581E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67355"/>
    <w:rsid w:val="00677F5A"/>
    <w:rsid w:val="006A2280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1278C"/>
    <w:rsid w:val="00720345"/>
    <w:rsid w:val="00721859"/>
    <w:rsid w:val="0072255F"/>
    <w:rsid w:val="007433A3"/>
    <w:rsid w:val="007554E7"/>
    <w:rsid w:val="007576E1"/>
    <w:rsid w:val="00771D4D"/>
    <w:rsid w:val="007731AC"/>
    <w:rsid w:val="00787769"/>
    <w:rsid w:val="00797A84"/>
    <w:rsid w:val="007A6A54"/>
    <w:rsid w:val="007A774E"/>
    <w:rsid w:val="007D1519"/>
    <w:rsid w:val="007D2D9D"/>
    <w:rsid w:val="007D631F"/>
    <w:rsid w:val="007D7F76"/>
    <w:rsid w:val="007E1E37"/>
    <w:rsid w:val="007F073D"/>
    <w:rsid w:val="008005CE"/>
    <w:rsid w:val="00807405"/>
    <w:rsid w:val="00812121"/>
    <w:rsid w:val="00816269"/>
    <w:rsid w:val="00816CB0"/>
    <w:rsid w:val="00816EE5"/>
    <w:rsid w:val="008437D5"/>
    <w:rsid w:val="00846A59"/>
    <w:rsid w:val="008479F9"/>
    <w:rsid w:val="00852084"/>
    <w:rsid w:val="0085457D"/>
    <w:rsid w:val="00857774"/>
    <w:rsid w:val="0086146B"/>
    <w:rsid w:val="00873A93"/>
    <w:rsid w:val="00873F85"/>
    <w:rsid w:val="00876D59"/>
    <w:rsid w:val="00877E6C"/>
    <w:rsid w:val="00882A09"/>
    <w:rsid w:val="00896FCA"/>
    <w:rsid w:val="008A4D97"/>
    <w:rsid w:val="008B353C"/>
    <w:rsid w:val="008C7A85"/>
    <w:rsid w:val="008E4F02"/>
    <w:rsid w:val="00901A3B"/>
    <w:rsid w:val="00902626"/>
    <w:rsid w:val="009026D3"/>
    <w:rsid w:val="00913DE7"/>
    <w:rsid w:val="00913EEA"/>
    <w:rsid w:val="00920B3B"/>
    <w:rsid w:val="00921C85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91AF5"/>
    <w:rsid w:val="00996D47"/>
    <w:rsid w:val="009A27A1"/>
    <w:rsid w:val="009B52E9"/>
    <w:rsid w:val="009B6453"/>
    <w:rsid w:val="009B6E1C"/>
    <w:rsid w:val="009B7D29"/>
    <w:rsid w:val="009D4479"/>
    <w:rsid w:val="00A26050"/>
    <w:rsid w:val="00A2745D"/>
    <w:rsid w:val="00A45D4B"/>
    <w:rsid w:val="00A46CCD"/>
    <w:rsid w:val="00A519A5"/>
    <w:rsid w:val="00A527C6"/>
    <w:rsid w:val="00A53439"/>
    <w:rsid w:val="00A5434C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71F70"/>
    <w:rsid w:val="00B741B8"/>
    <w:rsid w:val="00B744A1"/>
    <w:rsid w:val="00B90155"/>
    <w:rsid w:val="00BA370F"/>
    <w:rsid w:val="00BA78BE"/>
    <w:rsid w:val="00BB3DBE"/>
    <w:rsid w:val="00BD2A2C"/>
    <w:rsid w:val="00BD5E99"/>
    <w:rsid w:val="00BD73CE"/>
    <w:rsid w:val="00BE352E"/>
    <w:rsid w:val="00BF3DE4"/>
    <w:rsid w:val="00BF6B3F"/>
    <w:rsid w:val="00C0627D"/>
    <w:rsid w:val="00C112ED"/>
    <w:rsid w:val="00C11915"/>
    <w:rsid w:val="00C151A2"/>
    <w:rsid w:val="00C26CC3"/>
    <w:rsid w:val="00C33A73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D5E71"/>
    <w:rsid w:val="00CE3878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70D45"/>
    <w:rsid w:val="00D81002"/>
    <w:rsid w:val="00DA065C"/>
    <w:rsid w:val="00DA141D"/>
    <w:rsid w:val="00DA7CF6"/>
    <w:rsid w:val="00DD225D"/>
    <w:rsid w:val="00E13CD1"/>
    <w:rsid w:val="00E15A02"/>
    <w:rsid w:val="00E3747D"/>
    <w:rsid w:val="00E42046"/>
    <w:rsid w:val="00E56C1F"/>
    <w:rsid w:val="00E6570B"/>
    <w:rsid w:val="00E74DE4"/>
    <w:rsid w:val="00E92DFB"/>
    <w:rsid w:val="00EA2B71"/>
    <w:rsid w:val="00EA3FD1"/>
    <w:rsid w:val="00EA5224"/>
    <w:rsid w:val="00EA66D9"/>
    <w:rsid w:val="00EA7981"/>
    <w:rsid w:val="00EB1A18"/>
    <w:rsid w:val="00EB7C12"/>
    <w:rsid w:val="00EC1995"/>
    <w:rsid w:val="00F23546"/>
    <w:rsid w:val="00F241F0"/>
    <w:rsid w:val="00F433E5"/>
    <w:rsid w:val="00F43990"/>
    <w:rsid w:val="00F61848"/>
    <w:rsid w:val="00F643A3"/>
    <w:rsid w:val="00F75B23"/>
    <w:rsid w:val="00F76EA2"/>
    <w:rsid w:val="00F8189C"/>
    <w:rsid w:val="00F96F7F"/>
    <w:rsid w:val="00FA791B"/>
    <w:rsid w:val="00FB26AB"/>
    <w:rsid w:val="00FD5879"/>
    <w:rsid w:val="00FD74E3"/>
    <w:rsid w:val="00FE1378"/>
    <w:rsid w:val="00FE5B2F"/>
    <w:rsid w:val="00FE77DC"/>
    <w:rsid w:val="016DC295"/>
    <w:rsid w:val="0D0F4CD4"/>
    <w:rsid w:val="1046ED96"/>
    <w:rsid w:val="18687E92"/>
    <w:rsid w:val="1A24CEBC"/>
    <w:rsid w:val="1BA776C0"/>
    <w:rsid w:val="1D2D5E24"/>
    <w:rsid w:val="1D5C6F7E"/>
    <w:rsid w:val="302DC25D"/>
    <w:rsid w:val="30F6E5AE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532E"/>
  <w15:docId w15:val="{D7CB3815-EB8F-4E3A-A156-922641CE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554E7"/>
    <w:pPr>
      <w:widowControl/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2"/>
      </w:numPr>
    </w:pPr>
  </w:style>
  <w:style w:type="numbering" w:customStyle="1" w:styleId="CurrentList2">
    <w:name w:val="Current List2"/>
    <w:uiPriority w:val="99"/>
    <w:rsid w:val="0055650E"/>
    <w:pPr>
      <w:numPr>
        <w:numId w:val="3"/>
      </w:numPr>
    </w:pPr>
  </w:style>
  <w:style w:type="numbering" w:customStyle="1" w:styleId="RCOT-BulletList">
    <w:name w:val="RCOT - Bullet List"/>
    <w:uiPriority w:val="99"/>
    <w:rsid w:val="00C92A10"/>
    <w:pPr>
      <w:numPr>
        <w:numId w:val="5"/>
      </w:numPr>
    </w:pPr>
  </w:style>
  <w:style w:type="numbering" w:customStyle="1" w:styleId="CurrentList3">
    <w:name w:val="Current List3"/>
    <w:uiPriority w:val="99"/>
    <w:rsid w:val="006E5A3A"/>
    <w:pPr>
      <w:numPr>
        <w:numId w:val="4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6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7"/>
      </w:numPr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Hyperlink">
    <w:name w:val="Hyperlink"/>
    <w:basedOn w:val="DefaultParagraphFont"/>
    <w:uiPriority w:val="99"/>
    <w:unhideWhenUsed/>
    <w:rsid w:val="00444249"/>
    <w:rPr>
      <w:color w:val="003543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explore-resources/health-into-homes/strategic-repor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ker\OneDrive%20-%20RCOT\Documents\Custom%20Office%20Templates\General%20template_no%20header.dotm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105FED7AD045968B27945A9D3FD1" ma:contentTypeVersion="16" ma:contentTypeDescription="Create a new document." ma:contentTypeScope="" ma:versionID="571d5bc04cd45b9f08239af82d1e8eb7">
  <xsd:schema xmlns:xsd="http://www.w3.org/2001/XMLSchema" xmlns:xs="http://www.w3.org/2001/XMLSchema" xmlns:p="http://schemas.microsoft.com/office/2006/metadata/properties" xmlns:ns2="f8f2f95d-1bc4-46a6-84a8-a4a1402c05fa" xmlns:ns3="5df23713-ac0e-4696-a6b9-d1c03219f572" targetNamespace="http://schemas.microsoft.com/office/2006/metadata/properties" ma:root="true" ma:fieldsID="a88f03c64d73f1221ba750080d2ce1ba" ns2:_="" ns3:_="">
    <xsd:import namespace="f8f2f95d-1bc4-46a6-84a8-a4a1402c05fa"/>
    <xsd:import namespace="5df23713-ac0e-4696-a6b9-d1c03219f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2f95d-1bc4-46a6-84a8-a4a1402c0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3713-ac0e-4696-a6b9-d1c03219f57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422b1b-e3fa-4619-8057-194d1519a372}" ma:internalName="TaxCatchAll" ma:showField="CatchAllData" ma:web="5df23713-ac0e-4696-a6b9-d1c03219f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2f95d-1bc4-46a6-84a8-a4a1402c05fa">
      <Terms xmlns="http://schemas.microsoft.com/office/infopath/2007/PartnerControls"/>
    </lcf76f155ced4ddcb4097134ff3c332f>
    <TaxCatchAll xmlns="5df23713-ac0e-4696-a6b9-d1c03219f5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AFF9D-BC57-4460-BAD8-E7C572697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2f95d-1bc4-46a6-84a8-a4a1402c05fa"/>
    <ds:schemaRef ds:uri="5df23713-ac0e-4696-a6b9-d1c03219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f8f2f95d-1bc4-46a6-84a8-a4a1402c05fa"/>
    <ds:schemaRef ds:uri="5df23713-ac0e-4696-a6b9-d1c03219f572"/>
  </ds:schemaRefs>
</ds:datastoreItem>
</file>

<file path=customXml/itemProps4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template_no header</Template>
  <TotalTime>0</TotalTime>
  <Pages>9</Pages>
  <Words>1943</Words>
  <Characters>13605</Characters>
  <Application>Microsoft Office Word</Application>
  <DocSecurity>0</DocSecurity>
  <Lines>400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Complex needs, tenancy sustainment, allocation and matching</vt:lpstr>
      <vt:lpstr>1. Executive summary</vt:lpstr>
      <vt:lpstr>2. Background and context</vt:lpstr>
      <vt:lpstr>    Current challenges:</vt:lpstr>
      <vt:lpstr>3. Rationale for OT involvement</vt:lpstr>
      <vt:lpstr>    What OTs bring to housing support</vt:lpstr>
      <vt:lpstr>    Benefits</vt:lpstr>
      <vt:lpstr>4. Proposed solution</vt:lpstr>
      <vt:lpstr>    Scope of work</vt:lpstr>
      <vt:lpstr>    Core activities</vt:lpstr>
      <vt:lpstr>5. Options appraisal</vt:lpstr>
      <vt:lpstr>6. Financial analysis</vt:lpstr>
      <vt:lpstr>7. Risks and mitigation</vt:lpstr>
      <vt:lpstr>8. Implementation plan and success metrics</vt:lpstr>
      <vt:lpstr>9. Conclusion and recommendations</vt:lpstr>
      <vt:lpstr>References</vt:lpstr>
    </vt:vector>
  </TitlesOfParts>
  <Manager/>
  <Company/>
  <LinksUpToDate>false</LinksUpToDate>
  <CharactersWithSpaces>15195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Jo Baker</cp:lastModifiedBy>
  <cp:revision>3</cp:revision>
  <cp:lastPrinted>2022-01-06T07:36:00Z</cp:lastPrinted>
  <dcterms:created xsi:type="dcterms:W3CDTF">2026-07-06T12:25:00Z</dcterms:created>
  <dcterms:modified xsi:type="dcterms:W3CDTF">2026-07-06T12:25:00Z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0x01010014A1105FED7AD045968B27945A9D3FD1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</Properties>
</file>