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812A" w14:textId="625E953C" w:rsidR="00305922" w:rsidRPr="005C067E" w:rsidRDefault="00420A0C" w:rsidP="00852119">
      <w:pPr>
        <w:spacing w:before="240"/>
        <w:ind w:left="-1021"/>
        <w:rPr>
          <w:rFonts w:cs="Arial"/>
          <w:b/>
          <w:color w:val="003643"/>
          <w:sz w:val="16"/>
          <w:szCs w:val="16"/>
        </w:rPr>
      </w:pPr>
      <w:r w:rsidRPr="00C0500F">
        <w:rPr>
          <w:rFonts w:cs="Arial"/>
          <w:b/>
          <w:noProof/>
          <w:color w:val="003643"/>
          <w:sz w:val="16"/>
          <w:szCs w:val="16"/>
        </w:rPr>
        <w:drawing>
          <wp:inline distT="0" distB="0" distL="0" distR="0" wp14:anchorId="7856F636" wp14:editId="1584F937">
            <wp:extent cx="7566808" cy="10695271"/>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7566808" cy="10695271"/>
                    </a:xfrm>
                    <a:prstGeom prst="rect">
                      <a:avLst/>
                    </a:prstGeom>
                  </pic:spPr>
                </pic:pic>
              </a:graphicData>
            </a:graphic>
          </wp:inline>
        </w:drawing>
      </w:r>
    </w:p>
    <w:p w14:paraId="62A78FA2" w14:textId="77777777" w:rsidR="005C6AFE" w:rsidRPr="00C0500F" w:rsidRDefault="005C6AFE" w:rsidP="005C6AFE">
      <w:pPr>
        <w:rPr>
          <w:rFonts w:cs="Arial"/>
          <w:b/>
          <w:color w:val="003643"/>
          <w:sz w:val="40"/>
          <w:szCs w:val="36"/>
        </w:rPr>
      </w:pPr>
      <w:r w:rsidRPr="00C0500F">
        <w:rPr>
          <w:rFonts w:cs="Arial"/>
          <w:b/>
          <w:color w:val="003643"/>
          <w:sz w:val="40"/>
          <w:szCs w:val="36"/>
        </w:rPr>
        <w:lastRenderedPageBreak/>
        <w:t>Quick reference and implementation guide</w:t>
      </w:r>
    </w:p>
    <w:p w14:paraId="513E1D81" w14:textId="77777777" w:rsidR="005C6AFE" w:rsidRPr="00C0500F" w:rsidRDefault="005C6AFE" w:rsidP="005C6AFE">
      <w:pPr>
        <w:rPr>
          <w:rFonts w:cs="Arial"/>
          <w:color w:val="003643"/>
        </w:rPr>
      </w:pPr>
    </w:p>
    <w:p w14:paraId="6BF9EC8F" w14:textId="77D10463" w:rsidR="006D616E" w:rsidRPr="00FD0D36" w:rsidRDefault="005C6AFE" w:rsidP="00A14B81">
      <w:pPr>
        <w:rPr>
          <w:rFonts w:cs="Arial"/>
          <w:color w:val="003643"/>
        </w:rPr>
      </w:pPr>
      <w:r w:rsidRPr="00C0500F">
        <w:rPr>
          <w:rFonts w:cs="Arial"/>
          <w:color w:val="003643"/>
        </w:rPr>
        <w:t xml:space="preserve">This guide provides a summary of the recommendations in </w:t>
      </w:r>
      <w:r w:rsidR="00265817">
        <w:rPr>
          <w:rFonts w:cs="Arial"/>
          <w:color w:val="003643"/>
        </w:rPr>
        <w:t>our</w:t>
      </w:r>
      <w:r w:rsidRPr="00C0500F">
        <w:rPr>
          <w:rFonts w:cs="Arial"/>
          <w:color w:val="003643"/>
        </w:rPr>
        <w:t xml:space="preserve"> practice guideline </w:t>
      </w:r>
      <w:r w:rsidRPr="00C0500F">
        <w:rPr>
          <w:rFonts w:cs="Arial"/>
          <w:b/>
          <w:i/>
          <w:color w:val="003643"/>
        </w:rPr>
        <w:t xml:space="preserve">Occupational therapy </w:t>
      </w:r>
      <w:r w:rsidR="00C665A7">
        <w:rPr>
          <w:rFonts w:cs="Arial"/>
          <w:b/>
          <w:i/>
          <w:color w:val="003643"/>
        </w:rPr>
        <w:t>and play</w:t>
      </w:r>
      <w:r w:rsidR="00AB4ED9">
        <w:rPr>
          <w:rFonts w:cs="Arial"/>
          <w:bCs/>
          <w:iCs/>
          <w:color w:val="003643"/>
        </w:rPr>
        <w:t>.</w:t>
      </w:r>
      <w:r w:rsidR="00A14B81">
        <w:rPr>
          <w:rFonts w:cs="Arial"/>
          <w:bCs/>
          <w:iCs/>
          <w:color w:val="003643"/>
        </w:rPr>
        <w:t xml:space="preserve"> </w:t>
      </w:r>
      <w:r w:rsidR="006D616E" w:rsidRPr="00FD0D36">
        <w:rPr>
          <w:rFonts w:cs="Arial"/>
          <w:color w:val="003643"/>
        </w:rPr>
        <w:t xml:space="preserve">Additionally, this resource </w:t>
      </w:r>
      <w:r w:rsidR="4846302F" w:rsidRPr="4B21DA65">
        <w:rPr>
          <w:rFonts w:cs="Arial"/>
          <w:color w:val="003643"/>
        </w:rPr>
        <w:t>gives</w:t>
      </w:r>
      <w:r w:rsidR="006D616E" w:rsidRPr="00FD0D36">
        <w:rPr>
          <w:rFonts w:cs="Arial"/>
          <w:color w:val="003643"/>
        </w:rPr>
        <w:t xml:space="preserve"> tips for incorporating the guideline’s recommendations into occupational therapy practice.</w:t>
      </w:r>
    </w:p>
    <w:p w14:paraId="22B5F09F" w14:textId="66DB5991" w:rsidR="005C6AFE" w:rsidRPr="00C0500F" w:rsidRDefault="005C6AFE" w:rsidP="005C6AFE">
      <w:pPr>
        <w:autoSpaceDE w:val="0"/>
        <w:autoSpaceDN w:val="0"/>
        <w:adjustRightInd w:val="0"/>
        <w:spacing w:before="120"/>
        <w:rPr>
          <w:rFonts w:cs="Arial"/>
          <w:color w:val="003643"/>
        </w:rPr>
      </w:pPr>
      <w:r w:rsidRPr="00C0500F">
        <w:rPr>
          <w:rFonts w:cs="Arial"/>
          <w:color w:val="003643"/>
        </w:rPr>
        <w:t xml:space="preserve">The full practice guideline together with implementation resources can be found on our website: </w:t>
      </w:r>
    </w:p>
    <w:p w14:paraId="38DCCE8A" w14:textId="77777777" w:rsidR="005C6AFE" w:rsidRPr="00C0500F" w:rsidRDefault="00802963" w:rsidP="005C6AFE">
      <w:pPr>
        <w:tabs>
          <w:tab w:val="left" w:pos="1125"/>
        </w:tabs>
        <w:rPr>
          <w:rStyle w:val="Hyperlink"/>
          <w:rFonts w:cs="Arial"/>
          <w:color w:val="003643"/>
        </w:rPr>
      </w:pPr>
      <w:hyperlink r:id="rId12" w:history="1">
        <w:r w:rsidR="005C6AFE" w:rsidRPr="00C0500F">
          <w:rPr>
            <w:rStyle w:val="Hyperlink"/>
            <w:rFonts w:cs="Arial"/>
            <w:color w:val="003643"/>
          </w:rPr>
          <w:t>https://www.rcot.co.uk/practice-resources/rcot-practice-guidelines</w:t>
        </w:r>
      </w:hyperlink>
    </w:p>
    <w:p w14:paraId="09EC689E" w14:textId="77777777" w:rsidR="005C6AFE" w:rsidRPr="00C0500F" w:rsidRDefault="005C6AFE" w:rsidP="005C6AFE">
      <w:pPr>
        <w:tabs>
          <w:tab w:val="left" w:pos="1125"/>
        </w:tabs>
        <w:rPr>
          <w:rStyle w:val="Hyperlink"/>
          <w:rFonts w:cs="Arial"/>
          <w:color w:val="003643"/>
        </w:rPr>
      </w:pPr>
    </w:p>
    <w:p w14:paraId="46A0E6DA" w14:textId="77777777" w:rsidR="005C6AFE" w:rsidRPr="00C0500F" w:rsidRDefault="005C6AFE" w:rsidP="005C6AFE">
      <w:pPr>
        <w:numPr>
          <w:ilvl w:val="0"/>
          <w:numId w:val="3"/>
        </w:numPr>
        <w:spacing w:before="120" w:after="120"/>
        <w:ind w:left="357" w:hanging="357"/>
        <w:rPr>
          <w:rFonts w:cs="Arial"/>
          <w:b/>
          <w:color w:val="003643"/>
          <w:sz w:val="28"/>
        </w:rPr>
      </w:pPr>
      <w:r w:rsidRPr="00C0500F">
        <w:rPr>
          <w:rFonts w:cs="Arial"/>
          <w:b/>
          <w:color w:val="003643"/>
          <w:sz w:val="28"/>
        </w:rPr>
        <w:t>Introduction</w:t>
      </w:r>
    </w:p>
    <w:p w14:paraId="75EB44B8" w14:textId="37A7F0B4" w:rsidR="00BC7625" w:rsidRPr="00E92A9D" w:rsidRDefault="009543EB" w:rsidP="0061690E">
      <w:pPr>
        <w:pStyle w:val="BodyText"/>
        <w:kinsoku w:val="0"/>
        <w:overflowPunct w:val="0"/>
        <w:ind w:left="0" w:firstLine="0"/>
        <w:rPr>
          <w:rFonts w:ascii="Arial" w:hAnsi="Arial" w:cs="Arial"/>
          <w:color w:val="003643"/>
          <w:lang w:eastAsia="en-US"/>
        </w:rPr>
      </w:pPr>
      <w:r w:rsidRPr="00E92A9D">
        <w:rPr>
          <w:rFonts w:ascii="Arial" w:hAnsi="Arial" w:cs="Arial"/>
          <w:color w:val="003643"/>
          <w:lang w:eastAsia="en-US"/>
        </w:rPr>
        <w:t>The aim of this guideline is to provide evidence-based recommendations for the use of play by occupational therapists working with children</w:t>
      </w:r>
      <w:r w:rsidR="00AD632A">
        <w:rPr>
          <w:rFonts w:ascii="Arial" w:hAnsi="Arial" w:cs="Arial"/>
          <w:color w:val="003643"/>
          <w:lang w:eastAsia="en-US"/>
        </w:rPr>
        <w:t xml:space="preserve"> and young people</w:t>
      </w:r>
      <w:r w:rsidRPr="00E92A9D">
        <w:rPr>
          <w:rFonts w:ascii="Arial" w:hAnsi="Arial" w:cs="Arial"/>
          <w:color w:val="003643"/>
          <w:lang w:eastAsia="en-US"/>
        </w:rPr>
        <w:t xml:space="preserve"> aged 0-18 years old in the </w:t>
      </w:r>
      <w:r w:rsidR="004A3EBF">
        <w:rPr>
          <w:rFonts w:ascii="Arial" w:hAnsi="Arial" w:cs="Arial"/>
          <w:color w:val="003643"/>
          <w:lang w:eastAsia="en-US"/>
        </w:rPr>
        <w:t>UK</w:t>
      </w:r>
      <w:r w:rsidRPr="00E92A9D">
        <w:rPr>
          <w:rFonts w:ascii="Arial" w:hAnsi="Arial" w:cs="Arial"/>
          <w:color w:val="003643"/>
          <w:lang w:eastAsia="en-US"/>
        </w:rPr>
        <w:t xml:space="preserve">. </w:t>
      </w:r>
      <w:r w:rsidR="006E0232">
        <w:rPr>
          <w:rFonts w:ascii="Arial" w:hAnsi="Arial" w:cs="Arial"/>
          <w:color w:val="003643"/>
          <w:lang w:eastAsia="en-US"/>
        </w:rPr>
        <w:t>It</w:t>
      </w:r>
      <w:r w:rsidR="00D00710" w:rsidRPr="00E92A9D">
        <w:rPr>
          <w:rFonts w:ascii="Arial" w:hAnsi="Arial" w:cs="Arial"/>
          <w:color w:val="003643"/>
          <w:lang w:eastAsia="en-US"/>
        </w:rPr>
        <w:t xml:space="preserve"> can support therapists in the evidence-based use of play in occupational therapy assessment and intervention, and to evaluate play participation as a meaningful goal or outcome for the child or young person. </w:t>
      </w:r>
      <w:r w:rsidR="00455F60" w:rsidRPr="00E92A9D">
        <w:rPr>
          <w:rFonts w:ascii="Arial" w:hAnsi="Arial" w:cs="Arial"/>
          <w:color w:val="003643"/>
          <w:lang w:eastAsia="en-US"/>
        </w:rPr>
        <w:t>Occupational therapists will need to consider the recommendations in the context of their own practice.</w:t>
      </w:r>
    </w:p>
    <w:p w14:paraId="028A1C0D" w14:textId="28A238B6" w:rsidR="00455F60" w:rsidRPr="00E92A9D" w:rsidRDefault="00020B4D" w:rsidP="00455F60">
      <w:pPr>
        <w:pStyle w:val="BodyText"/>
        <w:kinsoku w:val="0"/>
        <w:overflowPunct w:val="0"/>
        <w:spacing w:before="253"/>
        <w:ind w:left="0" w:right="266" w:firstLine="0"/>
        <w:rPr>
          <w:rFonts w:ascii="Arial" w:hAnsi="Arial" w:cs="Arial"/>
          <w:color w:val="003643"/>
          <w:lang w:eastAsia="en-US"/>
        </w:rPr>
      </w:pPr>
      <w:r w:rsidRPr="00E92A9D">
        <w:rPr>
          <w:rFonts w:ascii="Arial" w:hAnsi="Arial" w:cs="Arial"/>
          <w:color w:val="003643"/>
          <w:lang w:eastAsia="en-US"/>
        </w:rPr>
        <w:t xml:space="preserve">Because the guideline is based on evidence, it </w:t>
      </w:r>
      <w:r w:rsidR="1B4FA822" w:rsidRPr="4B21DA65">
        <w:rPr>
          <w:rFonts w:ascii="Arial" w:hAnsi="Arial" w:cs="Arial"/>
          <w:color w:val="003643"/>
          <w:lang w:eastAsia="en-US"/>
        </w:rPr>
        <w:t>does not</w:t>
      </w:r>
      <w:r w:rsidRPr="00E92A9D">
        <w:rPr>
          <w:rFonts w:ascii="Arial" w:hAnsi="Arial" w:cs="Arial"/>
          <w:color w:val="003643"/>
          <w:lang w:eastAsia="en-US"/>
        </w:rPr>
        <w:t xml:space="preserve"> cover all aspects of occupational therapy and play. </w:t>
      </w:r>
      <w:r w:rsidR="00D00710" w:rsidRPr="00E92A9D">
        <w:rPr>
          <w:rFonts w:ascii="Arial" w:hAnsi="Arial" w:cs="Arial"/>
          <w:color w:val="003643"/>
          <w:lang w:eastAsia="en-US"/>
        </w:rPr>
        <w:t>It is beyond the scope of this guideline to specify models for occupational therapy services or provide recommendations for specific assessment tools or interventions.</w:t>
      </w:r>
      <w:r w:rsidR="00455F60" w:rsidRPr="00E92A9D">
        <w:rPr>
          <w:rFonts w:ascii="Arial" w:hAnsi="Arial" w:cs="Arial"/>
          <w:color w:val="003643"/>
          <w:lang w:eastAsia="en-US"/>
        </w:rPr>
        <w:t xml:space="preserve"> </w:t>
      </w:r>
    </w:p>
    <w:p w14:paraId="04FE8D07" w14:textId="7AE11325" w:rsidR="00E92A9D" w:rsidRPr="00E92A9D" w:rsidRDefault="00E92A9D" w:rsidP="0061690E">
      <w:pPr>
        <w:pStyle w:val="BodyText"/>
        <w:kinsoku w:val="0"/>
        <w:overflowPunct w:val="0"/>
        <w:ind w:left="0" w:firstLine="0"/>
        <w:rPr>
          <w:rFonts w:ascii="Arial" w:hAnsi="Arial" w:cs="Arial"/>
          <w:color w:val="003643"/>
          <w:lang w:eastAsia="en-US"/>
        </w:rPr>
      </w:pPr>
    </w:p>
    <w:p w14:paraId="41B45083" w14:textId="48A297C1" w:rsidR="005C6AFE" w:rsidRPr="00C0500F" w:rsidRDefault="00DB7688" w:rsidP="005C6AFE">
      <w:pPr>
        <w:numPr>
          <w:ilvl w:val="0"/>
          <w:numId w:val="3"/>
        </w:numPr>
        <w:rPr>
          <w:rFonts w:cs="Arial"/>
          <w:b/>
          <w:color w:val="003643"/>
          <w:sz w:val="28"/>
        </w:rPr>
      </w:pPr>
      <w:r>
        <w:rPr>
          <w:rFonts w:cs="Arial"/>
          <w:b/>
          <w:color w:val="003643"/>
          <w:sz w:val="28"/>
        </w:rPr>
        <w:t xml:space="preserve">Play </w:t>
      </w:r>
      <w:r w:rsidR="000462D4">
        <w:rPr>
          <w:rFonts w:cs="Arial"/>
          <w:b/>
          <w:color w:val="003643"/>
          <w:sz w:val="28"/>
        </w:rPr>
        <w:t xml:space="preserve">and </w:t>
      </w:r>
      <w:r>
        <w:rPr>
          <w:rFonts w:cs="Arial"/>
          <w:b/>
          <w:color w:val="003643"/>
          <w:sz w:val="28"/>
        </w:rPr>
        <w:t xml:space="preserve">the </w:t>
      </w:r>
      <w:r w:rsidR="000462D4">
        <w:rPr>
          <w:rFonts w:cs="Arial"/>
          <w:b/>
          <w:color w:val="003643"/>
          <w:sz w:val="28"/>
        </w:rPr>
        <w:t xml:space="preserve">occupational therapy </w:t>
      </w:r>
      <w:proofErr w:type="gramStart"/>
      <w:r w:rsidR="000462D4">
        <w:rPr>
          <w:rFonts w:cs="Arial"/>
          <w:b/>
          <w:color w:val="003643"/>
          <w:sz w:val="28"/>
        </w:rPr>
        <w:t>role</w:t>
      </w:r>
      <w:proofErr w:type="gramEnd"/>
    </w:p>
    <w:p w14:paraId="3D8197CB" w14:textId="77777777" w:rsidR="005C6AFE" w:rsidRPr="00C0500F" w:rsidRDefault="005C6AFE" w:rsidP="005C6AFE">
      <w:pPr>
        <w:rPr>
          <w:rFonts w:cs="Arial"/>
          <w:b/>
          <w:color w:val="003643"/>
          <w:sz w:val="12"/>
        </w:rPr>
      </w:pPr>
    </w:p>
    <w:p w14:paraId="5CC737A3" w14:textId="77777777" w:rsidR="00905487" w:rsidRDefault="00AA38C7" w:rsidP="00F347D8">
      <w:pPr>
        <w:rPr>
          <w:rFonts w:cs="Arial"/>
          <w:color w:val="003643"/>
        </w:rPr>
      </w:pPr>
      <w:r w:rsidRPr="00301490">
        <w:rPr>
          <w:rFonts w:cs="Arial"/>
          <w:color w:val="003643"/>
        </w:rPr>
        <w:t>The primary and unique goal of occupational therapy is to enable participation in meaningful occupations, and play is a primary occupation of childhood (World Federation of Occupational Therapists 2012, RCOT 2021).</w:t>
      </w:r>
      <w:r w:rsidR="00B17953">
        <w:rPr>
          <w:rFonts w:cs="Arial"/>
          <w:color w:val="003643"/>
        </w:rPr>
        <w:t xml:space="preserve"> </w:t>
      </w:r>
    </w:p>
    <w:p w14:paraId="763CD857" w14:textId="77777777" w:rsidR="00905487" w:rsidRDefault="00905487" w:rsidP="00F347D8">
      <w:pPr>
        <w:rPr>
          <w:rFonts w:cs="Arial"/>
          <w:color w:val="003643"/>
        </w:rPr>
      </w:pPr>
    </w:p>
    <w:p w14:paraId="56C1FB8D" w14:textId="61AE493F" w:rsidR="00F347D8" w:rsidRPr="00FD0D36" w:rsidRDefault="00AA38C7" w:rsidP="00F347D8">
      <w:pPr>
        <w:rPr>
          <w:rFonts w:cs="Arial"/>
          <w:color w:val="003643"/>
        </w:rPr>
      </w:pPr>
      <w:r>
        <w:rPr>
          <w:rFonts w:cs="Arial"/>
          <w:color w:val="003643"/>
        </w:rPr>
        <w:t>T</w:t>
      </w:r>
      <w:r w:rsidR="00F347D8" w:rsidRPr="00FD0D36">
        <w:rPr>
          <w:rFonts w:cs="Arial"/>
          <w:color w:val="003643"/>
        </w:rPr>
        <w:t>here are different definitions of play (</w:t>
      </w:r>
      <w:proofErr w:type="spellStart"/>
      <w:r w:rsidR="00F347D8" w:rsidRPr="00FD0D36">
        <w:rPr>
          <w:rFonts w:cs="Arial"/>
          <w:color w:val="003643"/>
        </w:rPr>
        <w:t>Kuhaneck</w:t>
      </w:r>
      <w:proofErr w:type="spellEnd"/>
      <w:r w:rsidR="00F347D8" w:rsidRPr="00FD0D36">
        <w:rPr>
          <w:rFonts w:cs="Arial"/>
          <w:color w:val="003643"/>
        </w:rPr>
        <w:t xml:space="preserve"> and Spitzer 2022). In this guideline, play is defined according to the Fourth Edition of the Occupational Therapy Practice Framework (OTPF4), as: </w:t>
      </w:r>
    </w:p>
    <w:p w14:paraId="6ADC390C" w14:textId="77777777" w:rsidR="00F347D8" w:rsidRPr="00FD0D36" w:rsidRDefault="00F347D8" w:rsidP="00F347D8">
      <w:pPr>
        <w:rPr>
          <w:rFonts w:cs="Arial"/>
          <w:color w:val="003643"/>
        </w:rPr>
      </w:pPr>
    </w:p>
    <w:p w14:paraId="1D855F9F" w14:textId="07BD8014" w:rsidR="00F347D8" w:rsidRPr="00FD0D36" w:rsidRDefault="00F347D8" w:rsidP="00F347D8">
      <w:pPr>
        <w:rPr>
          <w:rFonts w:cs="Arial"/>
          <w:color w:val="003643"/>
        </w:rPr>
      </w:pPr>
      <w:r w:rsidRPr="00FD0D36">
        <w:rPr>
          <w:rFonts w:cs="Arial"/>
          <w:color w:val="003643"/>
        </w:rPr>
        <w:t>...activities that are intrinsically motivated, internally controlled, and freely chosen and that may include the suspension of reality (</w:t>
      </w:r>
      <w:r w:rsidR="5862C0C9" w:rsidRPr="4B21DA65">
        <w:rPr>
          <w:rFonts w:cs="Arial"/>
          <w:color w:val="003643"/>
        </w:rPr>
        <w:t>for example,</w:t>
      </w:r>
      <w:r w:rsidRPr="00FD0D36">
        <w:rPr>
          <w:rFonts w:cs="Arial"/>
          <w:color w:val="003643"/>
        </w:rPr>
        <w:t xml:space="preserve"> fantasy; </w:t>
      </w:r>
      <w:proofErr w:type="spellStart"/>
      <w:r w:rsidRPr="00FD0D36">
        <w:rPr>
          <w:rFonts w:cs="Arial"/>
          <w:color w:val="003643"/>
        </w:rPr>
        <w:t>Skard</w:t>
      </w:r>
      <w:proofErr w:type="spellEnd"/>
      <w:r w:rsidRPr="00FD0D36">
        <w:rPr>
          <w:rFonts w:cs="Arial"/>
          <w:color w:val="003643"/>
        </w:rPr>
        <w:t xml:space="preserve"> and Bundy 2008), exploration, humour, risk-taking, contests, and celebrations (Eberle 2014, Sutton-Smith 2009). Play is a complex and multidimensional phenomenon that is shaped by sociocultural factors (Lynch et al 2016). </w:t>
      </w:r>
    </w:p>
    <w:p w14:paraId="20B21DB9" w14:textId="77777777" w:rsidR="00F347D8" w:rsidRPr="00FD0D36" w:rsidRDefault="00F347D8" w:rsidP="00F347D8">
      <w:pPr>
        <w:rPr>
          <w:rFonts w:cs="Arial"/>
          <w:color w:val="003643"/>
        </w:rPr>
      </w:pPr>
    </w:p>
    <w:p w14:paraId="6C2AF634" w14:textId="77777777" w:rsidR="00F347D8" w:rsidRPr="00FD0D36" w:rsidRDefault="00F347D8" w:rsidP="00F347D8">
      <w:pPr>
        <w:rPr>
          <w:rFonts w:ascii="Times New Roman" w:hAnsi="Times New Roman"/>
          <w:color w:val="003643"/>
        </w:rPr>
      </w:pPr>
      <w:r w:rsidRPr="00FD0D36">
        <w:rPr>
          <w:rFonts w:cs="Arial"/>
          <w:color w:val="003643"/>
        </w:rPr>
        <w:t>(American Occupational Therapy Association 2020, p34).</w:t>
      </w:r>
    </w:p>
    <w:p w14:paraId="056191A2" w14:textId="5A082FEC" w:rsidR="00675ADE" w:rsidRPr="00FD0D36" w:rsidRDefault="00675ADE" w:rsidP="00675ADE">
      <w:pPr>
        <w:pStyle w:val="BodyText"/>
        <w:kinsoku w:val="0"/>
        <w:overflowPunct w:val="0"/>
        <w:spacing w:before="257"/>
        <w:ind w:left="0" w:firstLine="0"/>
        <w:rPr>
          <w:rFonts w:ascii="Arial" w:hAnsi="Arial" w:cs="Arial"/>
          <w:color w:val="003643"/>
        </w:rPr>
      </w:pPr>
      <w:r w:rsidRPr="00FD0D36">
        <w:rPr>
          <w:rFonts w:ascii="Arial" w:hAnsi="Arial" w:cs="Arial"/>
          <w:color w:val="003643"/>
        </w:rPr>
        <w:t>Children’s play develops and changes over time; in the early years sensorimotor and exploratory play predominate, with functional, constructive play and social play developing over the years. They learn to play with other children for longer periods and in larger groups and develop the ability to participate in games with increasingly complex rules. Occupational therapists need to understand the development of play occupations that children and young people typically engage in across developmental stages to facilitate appropriate play development and opportunities.</w:t>
      </w:r>
    </w:p>
    <w:p w14:paraId="11018547" w14:textId="0D83541A" w:rsidR="00607D4C" w:rsidRDefault="00607D4C" w:rsidP="00C65678">
      <w:pPr>
        <w:pStyle w:val="BodyText"/>
        <w:kinsoku w:val="0"/>
        <w:overflowPunct w:val="0"/>
        <w:spacing w:before="257"/>
        <w:ind w:left="0" w:firstLine="0"/>
        <w:rPr>
          <w:rFonts w:ascii="Arial" w:hAnsi="Arial" w:cs="Arial"/>
          <w:color w:val="003643"/>
        </w:rPr>
      </w:pPr>
      <w:r w:rsidRPr="00301490">
        <w:rPr>
          <w:rFonts w:ascii="Arial" w:hAnsi="Arial" w:cs="Arial"/>
          <w:color w:val="003643"/>
        </w:rPr>
        <w:t xml:space="preserve">Occupational therapists promote and enable children and young people to participate in play for its own sake as a meaningful occupation and to facilitate development and learning. Occupational therapists work to ensure there is occupational balance between activities of daily living, instrumental activities of daily living, health management, rest and sleep, education, work, social participation, </w:t>
      </w:r>
      <w:proofErr w:type="gramStart"/>
      <w:r w:rsidRPr="00301490">
        <w:rPr>
          <w:rFonts w:ascii="Arial" w:hAnsi="Arial" w:cs="Arial"/>
          <w:color w:val="003643"/>
        </w:rPr>
        <w:t>leisure</w:t>
      </w:r>
      <w:proofErr w:type="gramEnd"/>
      <w:r w:rsidRPr="00301490">
        <w:rPr>
          <w:rFonts w:ascii="Arial" w:hAnsi="Arial" w:cs="Arial"/>
          <w:color w:val="003643"/>
        </w:rPr>
        <w:t xml:space="preserve"> and play (American Occupational Therapy Association 2020). </w:t>
      </w:r>
    </w:p>
    <w:p w14:paraId="395720B5" w14:textId="77777777" w:rsidR="00154F5A" w:rsidRPr="00301490" w:rsidRDefault="00154F5A" w:rsidP="00C65678">
      <w:pPr>
        <w:pStyle w:val="BodyText"/>
        <w:kinsoku w:val="0"/>
        <w:overflowPunct w:val="0"/>
        <w:spacing w:before="257"/>
        <w:ind w:left="0" w:firstLine="0"/>
        <w:rPr>
          <w:rFonts w:ascii="Arial" w:hAnsi="Arial" w:cs="Arial"/>
          <w:color w:val="003643"/>
        </w:rPr>
      </w:pPr>
    </w:p>
    <w:p w14:paraId="6946613E" w14:textId="77777777" w:rsidR="005C6AFE" w:rsidRDefault="005C6AFE" w:rsidP="00C65678">
      <w:pPr>
        <w:rPr>
          <w:rFonts w:cs="Arial"/>
          <w:b/>
          <w:color w:val="003643"/>
        </w:rPr>
      </w:pPr>
    </w:p>
    <w:p w14:paraId="60103078" w14:textId="77777777" w:rsidR="005C6AFE" w:rsidRPr="00C0500F" w:rsidRDefault="005C6AFE" w:rsidP="005C6AFE">
      <w:pPr>
        <w:numPr>
          <w:ilvl w:val="0"/>
          <w:numId w:val="3"/>
        </w:numPr>
        <w:autoSpaceDE w:val="0"/>
        <w:autoSpaceDN w:val="0"/>
        <w:adjustRightInd w:val="0"/>
        <w:spacing w:after="120"/>
        <w:ind w:left="357" w:hanging="357"/>
        <w:rPr>
          <w:rFonts w:cs="Arial"/>
          <w:b/>
          <w:color w:val="003643"/>
          <w:sz w:val="28"/>
          <w:szCs w:val="28"/>
        </w:rPr>
      </w:pPr>
      <w:r w:rsidRPr="00C0500F">
        <w:rPr>
          <w:rFonts w:cs="Arial"/>
          <w:b/>
          <w:color w:val="003643"/>
          <w:sz w:val="28"/>
          <w:szCs w:val="28"/>
        </w:rPr>
        <w:lastRenderedPageBreak/>
        <w:t>Guideline recommendations and evidence overview</w:t>
      </w:r>
    </w:p>
    <w:p w14:paraId="682064D3" w14:textId="1E9EB9CA" w:rsidR="005C6AFE" w:rsidRPr="00C0500F" w:rsidRDefault="005C6AFE" w:rsidP="005C6AFE">
      <w:pPr>
        <w:autoSpaceDE w:val="0"/>
        <w:autoSpaceDN w:val="0"/>
        <w:adjustRightInd w:val="0"/>
        <w:rPr>
          <w:rFonts w:cs="Arial"/>
          <w:color w:val="003643"/>
        </w:rPr>
      </w:pPr>
      <w:r w:rsidRPr="00C0500F">
        <w:rPr>
          <w:rFonts w:cs="Arial"/>
          <w:color w:val="003643"/>
        </w:rPr>
        <w:t xml:space="preserve">The guideline recommendations are presented in </w:t>
      </w:r>
      <w:r w:rsidR="00B12167">
        <w:rPr>
          <w:rFonts w:cs="Arial"/>
          <w:color w:val="003643"/>
        </w:rPr>
        <w:t>three</w:t>
      </w:r>
      <w:r w:rsidRPr="00C0500F">
        <w:rPr>
          <w:rFonts w:cs="Arial"/>
          <w:color w:val="003643"/>
        </w:rPr>
        <w:t xml:space="preserve"> categories that </w:t>
      </w:r>
      <w:r w:rsidR="00B12167">
        <w:rPr>
          <w:rFonts w:cs="Arial"/>
          <w:color w:val="003643"/>
        </w:rPr>
        <w:t>correspond to stages of the occupational therapy process</w:t>
      </w:r>
      <w:r w:rsidR="00EB58DE">
        <w:rPr>
          <w:rFonts w:cs="Arial"/>
          <w:color w:val="003643"/>
        </w:rPr>
        <w:t xml:space="preserve">: goals and outcomes, </w:t>
      </w:r>
      <w:proofErr w:type="gramStart"/>
      <w:r w:rsidR="00EB58DE">
        <w:rPr>
          <w:rFonts w:cs="Arial"/>
          <w:color w:val="003643"/>
        </w:rPr>
        <w:t>assessment</w:t>
      </w:r>
      <w:proofErr w:type="gramEnd"/>
      <w:r w:rsidR="00EB58DE">
        <w:rPr>
          <w:rFonts w:cs="Arial"/>
          <w:color w:val="003643"/>
        </w:rPr>
        <w:t xml:space="preserve"> and intervention.</w:t>
      </w:r>
    </w:p>
    <w:p w14:paraId="3DC8EECF" w14:textId="77777777" w:rsidR="005C6AFE" w:rsidRPr="00C0500F" w:rsidRDefault="005C6AFE" w:rsidP="005C6AFE">
      <w:pPr>
        <w:autoSpaceDE w:val="0"/>
        <w:autoSpaceDN w:val="0"/>
        <w:adjustRightInd w:val="0"/>
        <w:rPr>
          <w:rFonts w:cs="Arial"/>
          <w:color w:val="003643"/>
        </w:rPr>
      </w:pPr>
    </w:p>
    <w:p w14:paraId="607E5436" w14:textId="30B94DA5" w:rsidR="005C6AFE" w:rsidRDefault="005C6AFE" w:rsidP="005C6AFE">
      <w:pPr>
        <w:autoSpaceDE w:val="0"/>
        <w:autoSpaceDN w:val="0"/>
        <w:adjustRightInd w:val="0"/>
        <w:rPr>
          <w:rFonts w:cs="Arial"/>
          <w:color w:val="003643"/>
        </w:rPr>
      </w:pPr>
      <w:r w:rsidRPr="00C0500F">
        <w:rPr>
          <w:rFonts w:cs="Arial"/>
          <w:color w:val="003643"/>
        </w:rPr>
        <w:t xml:space="preserve">The evidence from </w:t>
      </w:r>
      <w:r w:rsidR="00AD38F9">
        <w:rPr>
          <w:rFonts w:cs="Arial"/>
          <w:color w:val="003643"/>
        </w:rPr>
        <w:t xml:space="preserve">the </w:t>
      </w:r>
      <w:r w:rsidR="00E60160">
        <w:rPr>
          <w:rFonts w:cs="Arial"/>
          <w:color w:val="003643"/>
        </w:rPr>
        <w:t>34</w:t>
      </w:r>
      <w:r w:rsidRPr="00C0500F">
        <w:rPr>
          <w:rFonts w:cs="Arial"/>
          <w:color w:val="003643"/>
        </w:rPr>
        <w:t xml:space="preserve"> studies used to develop the recommendations</w:t>
      </w:r>
      <w:r w:rsidR="00E126BE">
        <w:rPr>
          <w:rFonts w:cs="Arial"/>
          <w:color w:val="003643"/>
        </w:rPr>
        <w:t xml:space="preserve"> and best practice suggestion</w:t>
      </w:r>
      <w:r w:rsidRPr="00C0500F">
        <w:rPr>
          <w:rFonts w:cs="Arial"/>
          <w:color w:val="003643"/>
        </w:rPr>
        <w:t xml:space="preserve"> is summarised in the guideline document (Section 5), and in evidence tables (Practice guideline supplement).  </w:t>
      </w:r>
      <w:r w:rsidR="00D12A58">
        <w:rPr>
          <w:rFonts w:cs="Arial"/>
          <w:color w:val="003643"/>
        </w:rPr>
        <w:t>Forty-seven percent</w:t>
      </w:r>
      <w:r w:rsidRPr="00C0500F">
        <w:rPr>
          <w:rFonts w:cs="Arial"/>
          <w:color w:val="003643"/>
        </w:rPr>
        <w:t xml:space="preserve"> of the evidence </w:t>
      </w:r>
      <w:r w:rsidR="000952FC">
        <w:rPr>
          <w:rFonts w:cs="Arial"/>
          <w:color w:val="003643"/>
        </w:rPr>
        <w:t>underpinning the recommendations</w:t>
      </w:r>
      <w:r w:rsidRPr="00C0500F">
        <w:rPr>
          <w:rFonts w:cs="Arial"/>
          <w:color w:val="003643"/>
        </w:rPr>
        <w:t xml:space="preserve"> was assessed as being high (Grade A), with </w:t>
      </w:r>
      <w:r w:rsidR="000C6F8E">
        <w:rPr>
          <w:rFonts w:cs="Arial"/>
          <w:color w:val="003643"/>
        </w:rPr>
        <w:t>29</w:t>
      </w:r>
      <w:r w:rsidRPr="00C0500F">
        <w:rPr>
          <w:rFonts w:cs="Arial"/>
          <w:color w:val="003643"/>
        </w:rPr>
        <w:t xml:space="preserve">% as moderate (Grade B) quality studies. A further </w:t>
      </w:r>
      <w:r w:rsidR="000C6F8E">
        <w:rPr>
          <w:rFonts w:cs="Arial"/>
          <w:color w:val="003643"/>
        </w:rPr>
        <w:t>24</w:t>
      </w:r>
      <w:r w:rsidRPr="00C0500F">
        <w:rPr>
          <w:rFonts w:cs="Arial"/>
          <w:color w:val="003643"/>
        </w:rPr>
        <w:t xml:space="preserve">% of the evidence was graded as low (C). The </w:t>
      </w:r>
      <w:r w:rsidR="005606A3">
        <w:rPr>
          <w:rFonts w:cs="Arial"/>
          <w:color w:val="003643"/>
        </w:rPr>
        <w:t>streng</w:t>
      </w:r>
      <w:r w:rsidR="00361EBD">
        <w:rPr>
          <w:rFonts w:cs="Arial"/>
          <w:color w:val="003643"/>
        </w:rPr>
        <w:t xml:space="preserve">th </w:t>
      </w:r>
      <w:r w:rsidRPr="00C0500F">
        <w:rPr>
          <w:rFonts w:cs="Arial"/>
          <w:color w:val="003643"/>
        </w:rPr>
        <w:t xml:space="preserve">of a recommendation is </w:t>
      </w:r>
      <w:r w:rsidR="5A1727C9" w:rsidRPr="4B21DA65">
        <w:rPr>
          <w:rFonts w:cs="Arial"/>
          <w:color w:val="003643"/>
        </w:rPr>
        <w:t>shown</w:t>
      </w:r>
      <w:r w:rsidRPr="4B21DA65">
        <w:rPr>
          <w:rFonts w:cs="Arial"/>
          <w:color w:val="003643"/>
        </w:rPr>
        <w:t xml:space="preserve"> </w:t>
      </w:r>
      <w:r w:rsidRPr="00C0500F">
        <w:rPr>
          <w:rFonts w:cs="Arial"/>
          <w:color w:val="003643"/>
        </w:rPr>
        <w:t xml:space="preserve">in the guideline with </w:t>
      </w:r>
      <w:r w:rsidR="009F7F40">
        <w:rPr>
          <w:rFonts w:cs="Arial"/>
          <w:color w:val="003643"/>
        </w:rPr>
        <w:t>the number</w:t>
      </w:r>
      <w:r w:rsidRPr="00C0500F">
        <w:rPr>
          <w:rFonts w:cs="Arial"/>
          <w:color w:val="003643"/>
        </w:rPr>
        <w:t xml:space="preserve"> </w:t>
      </w:r>
      <w:r w:rsidR="005606A3">
        <w:rPr>
          <w:rFonts w:cs="Arial"/>
          <w:color w:val="003643"/>
        </w:rPr>
        <w:t>one or two</w:t>
      </w:r>
      <w:r w:rsidRPr="00C0500F">
        <w:rPr>
          <w:rFonts w:cs="Arial"/>
          <w:color w:val="003643"/>
        </w:rPr>
        <w:t xml:space="preserve">, </w:t>
      </w:r>
      <w:r w:rsidR="00CB5EA1">
        <w:rPr>
          <w:rFonts w:cs="Arial"/>
          <w:color w:val="003643"/>
        </w:rPr>
        <w:t>and t</w:t>
      </w:r>
      <w:r w:rsidRPr="00C0500F">
        <w:rPr>
          <w:rFonts w:cs="Arial"/>
          <w:color w:val="003643"/>
        </w:rPr>
        <w:t>hen</w:t>
      </w:r>
      <w:r w:rsidR="005606A3">
        <w:rPr>
          <w:rFonts w:cs="Arial"/>
          <w:color w:val="003643"/>
        </w:rPr>
        <w:t xml:space="preserve"> an</w:t>
      </w:r>
      <w:r w:rsidRPr="00C0500F">
        <w:rPr>
          <w:rFonts w:cs="Arial"/>
          <w:color w:val="003643"/>
        </w:rPr>
        <w:t xml:space="preserve"> alphabetical grade to reflect the quality of the evidence (</w:t>
      </w:r>
      <w:proofErr w:type="gramStart"/>
      <w:r w:rsidRPr="00C0500F">
        <w:rPr>
          <w:rFonts w:cs="Arial"/>
          <w:color w:val="003643"/>
        </w:rPr>
        <w:t>e.g.</w:t>
      </w:r>
      <w:proofErr w:type="gramEnd"/>
      <w:r w:rsidRPr="00C0500F">
        <w:rPr>
          <w:rFonts w:cs="Arial"/>
          <w:color w:val="003643"/>
        </w:rPr>
        <w:t xml:space="preserve"> 1A – strong recommendation, high quality</w:t>
      </w:r>
      <w:r w:rsidR="002D2C49">
        <w:rPr>
          <w:rFonts w:cs="Arial"/>
          <w:color w:val="003643"/>
        </w:rPr>
        <w:t xml:space="preserve"> evidence</w:t>
      </w:r>
      <w:r w:rsidRPr="00C0500F">
        <w:rPr>
          <w:rFonts w:cs="Arial"/>
          <w:color w:val="003643"/>
        </w:rPr>
        <w:t xml:space="preserve">). </w:t>
      </w:r>
      <w:r w:rsidR="007D42A3">
        <w:rPr>
          <w:rFonts w:cs="Arial"/>
          <w:color w:val="003643"/>
        </w:rPr>
        <w:t>All 14</w:t>
      </w:r>
      <w:r w:rsidRPr="00C0500F">
        <w:rPr>
          <w:rFonts w:cs="Arial"/>
          <w:color w:val="003643"/>
        </w:rPr>
        <w:t xml:space="preserve"> recommendations are </w:t>
      </w:r>
      <w:r w:rsidR="00FA1170">
        <w:rPr>
          <w:rFonts w:cs="Arial"/>
          <w:color w:val="003643"/>
        </w:rPr>
        <w:t>considered</w:t>
      </w:r>
      <w:r w:rsidRPr="00C0500F">
        <w:rPr>
          <w:rFonts w:cs="Arial"/>
          <w:color w:val="003643"/>
        </w:rPr>
        <w:t xml:space="preserve"> strong</w:t>
      </w:r>
      <w:r w:rsidR="00F30DF8">
        <w:rPr>
          <w:rFonts w:cs="Arial"/>
          <w:color w:val="003643"/>
        </w:rPr>
        <w:t>, and the best practice suggestion</w:t>
      </w:r>
      <w:r w:rsidR="00FA1170">
        <w:rPr>
          <w:rFonts w:cs="Arial"/>
          <w:color w:val="003643"/>
        </w:rPr>
        <w:t xml:space="preserve"> is considered conditional</w:t>
      </w:r>
      <w:r w:rsidRPr="00C0500F">
        <w:rPr>
          <w:rFonts w:cs="Arial"/>
          <w:color w:val="003643"/>
        </w:rPr>
        <w:t>.</w:t>
      </w:r>
    </w:p>
    <w:p w14:paraId="7559BE77" w14:textId="0EECD9A3" w:rsidR="00C15C0D" w:rsidRDefault="00C15C0D" w:rsidP="005C6AFE">
      <w:pPr>
        <w:autoSpaceDE w:val="0"/>
        <w:autoSpaceDN w:val="0"/>
        <w:adjustRightInd w:val="0"/>
        <w:rPr>
          <w:rFonts w:cs="Arial"/>
          <w:color w:val="003643"/>
        </w:rPr>
      </w:pPr>
    </w:p>
    <w:p w14:paraId="7807BC85" w14:textId="6531C8C5" w:rsidR="00C15C0D" w:rsidRDefault="00C15C0D" w:rsidP="00C15C0D">
      <w:pPr>
        <w:autoSpaceDE w:val="0"/>
        <w:autoSpaceDN w:val="0"/>
        <w:adjustRightInd w:val="0"/>
        <w:spacing w:before="120"/>
        <w:rPr>
          <w:rFonts w:cs="Arial"/>
          <w:color w:val="003643"/>
        </w:rPr>
      </w:pPr>
      <w:r>
        <w:rPr>
          <w:rFonts w:cs="Arial"/>
          <w:bCs/>
          <w:iCs/>
          <w:color w:val="003643"/>
        </w:rPr>
        <w:t>The recommendations</w:t>
      </w:r>
      <w:r w:rsidRPr="00FD0D36">
        <w:rPr>
          <w:rFonts w:cs="Arial"/>
          <w:color w:val="003643"/>
        </w:rPr>
        <w:t xml:space="preserve"> must be considered </w:t>
      </w:r>
      <w:r w:rsidR="0E768079" w:rsidRPr="4B21DA65">
        <w:rPr>
          <w:rFonts w:cs="Arial"/>
          <w:color w:val="003643"/>
        </w:rPr>
        <w:t xml:space="preserve">along </w:t>
      </w:r>
      <w:r w:rsidRPr="00FD0D36">
        <w:rPr>
          <w:rFonts w:cs="Arial"/>
          <w:color w:val="003643"/>
        </w:rPr>
        <w:t>with the contextual information and guideline development methodology described in the practice guideline document, together with current versions of professional practice documents, of which knowledge and adherence is assumed</w:t>
      </w:r>
      <w:r>
        <w:rPr>
          <w:rFonts w:cs="Arial"/>
          <w:color w:val="003643"/>
        </w:rPr>
        <w:t xml:space="preserve">. </w:t>
      </w:r>
    </w:p>
    <w:p w14:paraId="697193BA" w14:textId="76FB6F9C" w:rsidR="005C6AFE" w:rsidRDefault="005C6AFE" w:rsidP="005C6AFE">
      <w:pPr>
        <w:pStyle w:val="BodyText"/>
        <w:kinsoku w:val="0"/>
        <w:overflowPunct w:val="0"/>
        <w:spacing w:before="2"/>
        <w:ind w:left="0"/>
        <w:rPr>
          <w:rFonts w:ascii="Arial" w:hAnsi="Arial" w:cs="Arial"/>
          <w:color w:val="003643"/>
          <w:sz w:val="17"/>
          <w:szCs w:val="17"/>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2"/>
        <w:gridCol w:w="1224"/>
      </w:tblGrid>
      <w:tr w:rsidR="00B84658" w:rsidRPr="00BC0AFF" w14:paraId="68B6E8A9" w14:textId="77777777" w:rsidTr="00531139">
        <w:tc>
          <w:tcPr>
            <w:tcW w:w="9016" w:type="dxa"/>
            <w:gridSpan w:val="2"/>
            <w:shd w:val="clear" w:color="auto" w:fill="003643"/>
          </w:tcPr>
          <w:p w14:paraId="3AAF0DF3" w14:textId="77777777" w:rsidR="00B84658" w:rsidRPr="006A36E1" w:rsidRDefault="00B84658" w:rsidP="008E6066">
            <w:pPr>
              <w:pStyle w:val="ListParagraph"/>
              <w:ind w:left="227"/>
              <w:rPr>
                <w:rFonts w:cs="Arial"/>
                <w:color w:val="FFFFFF" w:themeColor="background1"/>
              </w:rPr>
            </w:pPr>
            <w:r w:rsidRPr="006A36E1">
              <w:rPr>
                <w:rFonts w:cs="Arial"/>
                <w:b/>
                <w:bCs/>
                <w:color w:val="FFFFFF" w:themeColor="background1"/>
                <w:sz w:val="28"/>
                <w:szCs w:val="28"/>
              </w:rPr>
              <w:t>Goals and outcomes recommendations</w:t>
            </w:r>
          </w:p>
        </w:tc>
      </w:tr>
      <w:tr w:rsidR="00B84658" w:rsidRPr="00BC0AFF" w14:paraId="5AD815D4" w14:textId="77777777" w:rsidTr="00531139">
        <w:tc>
          <w:tcPr>
            <w:tcW w:w="7792" w:type="dxa"/>
            <w:shd w:val="clear" w:color="auto" w:fill="003643"/>
          </w:tcPr>
          <w:p w14:paraId="4C087CE0" w14:textId="77777777" w:rsidR="00B84658" w:rsidRPr="006A36E1" w:rsidRDefault="00B84658" w:rsidP="008E6066">
            <w:pPr>
              <w:pStyle w:val="ListParagraph"/>
              <w:ind w:left="227"/>
              <w:rPr>
                <w:rFonts w:cs="Arial"/>
                <w:color w:val="FFFFFF" w:themeColor="background1"/>
              </w:rPr>
            </w:pPr>
            <w:r w:rsidRPr="006A36E1">
              <w:rPr>
                <w:rFonts w:cs="Arial"/>
                <w:color w:val="FFFFFF" w:themeColor="background1"/>
              </w:rPr>
              <w:t>Recommendation and supporting evidence</w:t>
            </w:r>
          </w:p>
        </w:tc>
        <w:tc>
          <w:tcPr>
            <w:tcW w:w="1224" w:type="dxa"/>
            <w:shd w:val="clear" w:color="auto" w:fill="003643"/>
          </w:tcPr>
          <w:p w14:paraId="7CAB8346" w14:textId="77777777" w:rsidR="00B84658" w:rsidRPr="00A20F83" w:rsidRDefault="00B84658" w:rsidP="00A20F83">
            <w:pPr>
              <w:rPr>
                <w:rFonts w:cs="Arial"/>
                <w:color w:val="FFFFFF" w:themeColor="background1"/>
              </w:rPr>
            </w:pPr>
            <w:r w:rsidRPr="00A20F83">
              <w:rPr>
                <w:rFonts w:cs="Arial"/>
                <w:color w:val="FFFFFF" w:themeColor="background1"/>
              </w:rPr>
              <w:t>Strength</w:t>
            </w:r>
          </w:p>
        </w:tc>
      </w:tr>
      <w:tr w:rsidR="00B84658" w:rsidRPr="00BC0AFF" w14:paraId="658CF171" w14:textId="77777777" w:rsidTr="00531139">
        <w:tc>
          <w:tcPr>
            <w:tcW w:w="7792" w:type="dxa"/>
          </w:tcPr>
          <w:p w14:paraId="2ECA5A88" w14:textId="77777777" w:rsidR="00B84658" w:rsidRPr="00A23B16" w:rsidRDefault="00B84658" w:rsidP="00B84658">
            <w:pPr>
              <w:pStyle w:val="ListParagraph"/>
              <w:widowControl w:val="0"/>
              <w:numPr>
                <w:ilvl w:val="0"/>
                <w:numId w:val="11"/>
              </w:numPr>
              <w:spacing w:before="90"/>
              <w:ind w:left="714" w:hanging="357"/>
              <w:rPr>
                <w:rFonts w:cs="Arial"/>
                <w:color w:val="003643"/>
              </w:rPr>
            </w:pPr>
            <w:r w:rsidRPr="00A23B16">
              <w:rPr>
                <w:rFonts w:cs="Arial"/>
                <w:color w:val="003643"/>
              </w:rPr>
              <w:t>It is recommended</w:t>
            </w:r>
            <w:r w:rsidRPr="00A23B16">
              <w:rPr>
                <w:rFonts w:cs="Arial"/>
                <w:b/>
                <w:color w:val="003643"/>
              </w:rPr>
              <w:t xml:space="preserve"> </w:t>
            </w:r>
            <w:r w:rsidRPr="00A23B16">
              <w:rPr>
                <w:rFonts w:cs="Arial"/>
                <w:color w:val="003643"/>
              </w:rPr>
              <w:t xml:space="preserve">that play participation is recognised as an important goal and outcome of occupational therapy for children and young people. </w:t>
            </w:r>
          </w:p>
          <w:p w14:paraId="23FFD831" w14:textId="77777777" w:rsidR="00B84658" w:rsidRPr="000A2F96" w:rsidRDefault="00B84658" w:rsidP="008E6066">
            <w:pPr>
              <w:contextualSpacing/>
              <w:rPr>
                <w:rFonts w:cs="Arial"/>
                <w:color w:val="003643"/>
              </w:rPr>
            </w:pPr>
          </w:p>
          <w:p w14:paraId="1A5971D9" w14:textId="77777777" w:rsidR="00D57110" w:rsidRPr="000A2F96" w:rsidRDefault="00D57110" w:rsidP="00D57110">
            <w:pPr>
              <w:pStyle w:val="ListParagraph"/>
              <w:ind w:left="680"/>
              <w:rPr>
                <w:rFonts w:cs="Arial"/>
                <w:color w:val="003643"/>
              </w:rPr>
            </w:pPr>
            <w:r w:rsidRPr="000A2F96">
              <w:rPr>
                <w:rFonts w:cs="Arial"/>
                <w:color w:val="003643"/>
              </w:rPr>
              <w:t xml:space="preserve">(Schaaf et al 2018 [A]; </w:t>
            </w:r>
            <w:proofErr w:type="spellStart"/>
            <w:r w:rsidRPr="000A2F96">
              <w:rPr>
                <w:rFonts w:cs="Arial"/>
                <w:color w:val="003643"/>
              </w:rPr>
              <w:t>Kuhaneck</w:t>
            </w:r>
            <w:proofErr w:type="spellEnd"/>
            <w:r w:rsidRPr="000A2F96">
              <w:rPr>
                <w:rFonts w:cs="Arial"/>
                <w:color w:val="003643"/>
              </w:rPr>
              <w:t xml:space="preserve"> et al 2020 [A]; </w:t>
            </w:r>
            <w:proofErr w:type="spellStart"/>
            <w:r w:rsidRPr="000A2F96">
              <w:rPr>
                <w:rFonts w:cs="Arial"/>
                <w:color w:val="003643"/>
              </w:rPr>
              <w:t>Ramugondo</w:t>
            </w:r>
            <w:proofErr w:type="spellEnd"/>
            <w:r w:rsidRPr="000A2F96">
              <w:rPr>
                <w:rFonts w:cs="Arial"/>
                <w:color w:val="003643"/>
              </w:rPr>
              <w:t xml:space="preserve"> et al 2018 [B]; </w:t>
            </w:r>
            <w:proofErr w:type="spellStart"/>
            <w:r w:rsidRPr="000A2F96">
              <w:rPr>
                <w:rFonts w:cs="Arial"/>
                <w:color w:val="003643"/>
              </w:rPr>
              <w:t>Jasem</w:t>
            </w:r>
            <w:proofErr w:type="spellEnd"/>
            <w:r w:rsidRPr="000A2F96">
              <w:rPr>
                <w:rFonts w:cs="Arial"/>
                <w:color w:val="003643"/>
              </w:rPr>
              <w:t xml:space="preserve"> et al 2020 [B]; Moore and Lynch 2018 [C])</w:t>
            </w:r>
          </w:p>
          <w:p w14:paraId="3DA41B10" w14:textId="77777777" w:rsidR="00B84658" w:rsidRPr="00A23B16" w:rsidRDefault="00B84658" w:rsidP="008E6066">
            <w:pPr>
              <w:pStyle w:val="ListParagraph"/>
              <w:ind w:left="0"/>
              <w:rPr>
                <w:rFonts w:cs="Arial"/>
                <w:color w:val="003643"/>
              </w:rPr>
            </w:pPr>
          </w:p>
        </w:tc>
        <w:tc>
          <w:tcPr>
            <w:tcW w:w="1224" w:type="dxa"/>
          </w:tcPr>
          <w:p w14:paraId="5BAF0CDA" w14:textId="77777777" w:rsidR="00B84658" w:rsidRPr="00A23B16" w:rsidRDefault="00B84658" w:rsidP="008E6066">
            <w:pPr>
              <w:pStyle w:val="ListParagraph"/>
              <w:ind w:left="227"/>
              <w:rPr>
                <w:rFonts w:cs="Arial"/>
                <w:color w:val="003643"/>
              </w:rPr>
            </w:pPr>
            <w:r w:rsidRPr="00A23B16">
              <w:rPr>
                <w:rFonts w:cs="Arial"/>
                <w:color w:val="003643"/>
              </w:rPr>
              <w:t>1A</w:t>
            </w:r>
          </w:p>
        </w:tc>
      </w:tr>
      <w:tr w:rsidR="00B84658" w:rsidRPr="00BC0AFF" w14:paraId="02A702B9" w14:textId="77777777" w:rsidTr="00531139">
        <w:tc>
          <w:tcPr>
            <w:tcW w:w="7792" w:type="dxa"/>
          </w:tcPr>
          <w:p w14:paraId="6B176B9E" w14:textId="77777777" w:rsidR="00B84658" w:rsidRPr="00A23B16" w:rsidRDefault="00B84658" w:rsidP="00B84658">
            <w:pPr>
              <w:pStyle w:val="ListParagraph"/>
              <w:widowControl w:val="0"/>
              <w:numPr>
                <w:ilvl w:val="0"/>
                <w:numId w:val="11"/>
              </w:numPr>
              <w:autoSpaceDE w:val="0"/>
              <w:autoSpaceDN w:val="0"/>
              <w:adjustRightInd w:val="0"/>
              <w:spacing w:before="90"/>
              <w:ind w:left="714" w:hanging="357"/>
              <w:rPr>
                <w:rFonts w:cs="Arial"/>
                <w:color w:val="003643"/>
              </w:rPr>
            </w:pPr>
            <w:r w:rsidRPr="00A23B16">
              <w:rPr>
                <w:rFonts w:cs="Arial"/>
                <w:color w:val="003643"/>
              </w:rPr>
              <w:t xml:space="preserve">It is recommended that occupational therapists elicit the child and young person’s perspective when play participation is identified as a therapy goal or outcome. </w:t>
            </w:r>
          </w:p>
          <w:p w14:paraId="7C8877FE" w14:textId="77777777" w:rsidR="00B84658" w:rsidRPr="00A23B16" w:rsidRDefault="00B84658" w:rsidP="008E6066">
            <w:pPr>
              <w:spacing w:before="90"/>
              <w:ind w:left="680"/>
              <w:rPr>
                <w:rFonts w:cs="Arial"/>
                <w:color w:val="003643"/>
              </w:rPr>
            </w:pPr>
            <w:r w:rsidRPr="00A23B16">
              <w:rPr>
                <w:rFonts w:cs="Arial"/>
                <w:color w:val="003643"/>
              </w:rPr>
              <w:t>(Rousseau-Harrison and Rochette 2013 [A])</w:t>
            </w:r>
          </w:p>
          <w:p w14:paraId="1A70452F" w14:textId="77777777" w:rsidR="00B84658" w:rsidRPr="00A23B16" w:rsidRDefault="00B84658" w:rsidP="008E6066">
            <w:pPr>
              <w:pStyle w:val="ListParagraph"/>
              <w:ind w:left="0"/>
              <w:rPr>
                <w:rFonts w:cs="Arial"/>
                <w:i/>
                <w:iCs/>
                <w:color w:val="003643"/>
              </w:rPr>
            </w:pPr>
          </w:p>
        </w:tc>
        <w:tc>
          <w:tcPr>
            <w:tcW w:w="1224" w:type="dxa"/>
          </w:tcPr>
          <w:p w14:paraId="601AE3EE" w14:textId="77777777" w:rsidR="00B84658" w:rsidRPr="00A23B16" w:rsidRDefault="00B84658" w:rsidP="008E6066">
            <w:pPr>
              <w:pStyle w:val="ListParagraph"/>
              <w:ind w:left="227"/>
              <w:rPr>
                <w:rFonts w:cs="Arial"/>
                <w:color w:val="003643"/>
              </w:rPr>
            </w:pPr>
            <w:r w:rsidRPr="00A23B16">
              <w:rPr>
                <w:rFonts w:cs="Arial"/>
                <w:color w:val="003643"/>
              </w:rPr>
              <w:t>1A</w:t>
            </w:r>
          </w:p>
        </w:tc>
      </w:tr>
      <w:tr w:rsidR="00B84658" w:rsidRPr="00BC0AFF" w14:paraId="12DBA04F" w14:textId="77777777" w:rsidTr="00531139">
        <w:tc>
          <w:tcPr>
            <w:tcW w:w="7792" w:type="dxa"/>
          </w:tcPr>
          <w:p w14:paraId="5C201DD7" w14:textId="1C705AEC" w:rsidR="00B84658" w:rsidRPr="00A23B16" w:rsidRDefault="00B84658" w:rsidP="00B84658">
            <w:pPr>
              <w:pStyle w:val="ListParagraph"/>
              <w:widowControl w:val="0"/>
              <w:numPr>
                <w:ilvl w:val="0"/>
                <w:numId w:val="11"/>
              </w:numPr>
              <w:autoSpaceDE w:val="0"/>
              <w:autoSpaceDN w:val="0"/>
              <w:adjustRightInd w:val="0"/>
              <w:spacing w:before="90"/>
              <w:ind w:left="714" w:hanging="357"/>
              <w:rPr>
                <w:rFonts w:cs="Arial"/>
                <w:i/>
                <w:iCs/>
                <w:color w:val="003643"/>
              </w:rPr>
            </w:pPr>
            <w:r w:rsidRPr="00A23B16">
              <w:rPr>
                <w:rFonts w:cs="Arial"/>
                <w:color w:val="003643"/>
              </w:rPr>
              <w:t>It is recommended</w:t>
            </w:r>
            <w:r w:rsidRPr="00A23B16">
              <w:rPr>
                <w:rFonts w:cs="Arial"/>
                <w:b/>
                <w:i/>
                <w:color w:val="003643"/>
              </w:rPr>
              <w:t xml:space="preserve"> </w:t>
            </w:r>
            <w:r w:rsidRPr="00A23B16">
              <w:rPr>
                <w:rFonts w:cs="Arial"/>
                <w:color w:val="003643"/>
              </w:rPr>
              <w:t>that occupational therapists consider the influence of adults</w:t>
            </w:r>
            <w:r w:rsidR="003C3C52">
              <w:rPr>
                <w:rFonts w:cs="Arial"/>
                <w:color w:val="003643"/>
              </w:rPr>
              <w:t>’</w:t>
            </w:r>
            <w:r w:rsidRPr="00A23B16">
              <w:rPr>
                <w:rFonts w:cs="Arial"/>
                <w:color w:val="003643"/>
              </w:rPr>
              <w:t xml:space="preserve"> perspectives regarding children and young people’s play participation when setting and evaluating intervention goals. </w:t>
            </w:r>
          </w:p>
          <w:p w14:paraId="5725A882" w14:textId="77777777" w:rsidR="00B84658" w:rsidRPr="00A23B16" w:rsidRDefault="00B84658" w:rsidP="008E6066">
            <w:pPr>
              <w:pStyle w:val="ListParagraph"/>
              <w:ind w:left="357"/>
              <w:rPr>
                <w:rFonts w:cs="Arial"/>
                <w:i/>
                <w:iCs/>
                <w:color w:val="003643"/>
              </w:rPr>
            </w:pPr>
          </w:p>
          <w:p w14:paraId="3D721514" w14:textId="77777777" w:rsidR="00541AB9" w:rsidRPr="00541AB9" w:rsidRDefault="00541AB9" w:rsidP="00541AB9">
            <w:pPr>
              <w:ind w:left="680"/>
              <w:rPr>
                <w:rFonts w:cs="Arial"/>
                <w:color w:val="003643"/>
              </w:rPr>
            </w:pPr>
            <w:r w:rsidRPr="00541AB9">
              <w:rPr>
                <w:rFonts w:cs="Arial"/>
                <w:color w:val="003643"/>
              </w:rPr>
              <w:t>(</w:t>
            </w:r>
            <w:proofErr w:type="spellStart"/>
            <w:r w:rsidRPr="00541AB9">
              <w:rPr>
                <w:rFonts w:cs="Arial"/>
                <w:color w:val="003643"/>
              </w:rPr>
              <w:t>Engelen</w:t>
            </w:r>
            <w:proofErr w:type="spellEnd"/>
            <w:r w:rsidRPr="00541AB9">
              <w:rPr>
                <w:rFonts w:cs="Arial"/>
                <w:color w:val="003643"/>
              </w:rPr>
              <w:t xml:space="preserve"> et al 2013 [A]; Crawford et al 2014 [B]; </w:t>
            </w:r>
            <w:proofErr w:type="spellStart"/>
            <w:r w:rsidRPr="00541AB9">
              <w:rPr>
                <w:rFonts w:cs="Arial"/>
                <w:color w:val="003643"/>
              </w:rPr>
              <w:t>Sterman</w:t>
            </w:r>
            <w:proofErr w:type="spellEnd"/>
            <w:r w:rsidRPr="00541AB9">
              <w:rPr>
                <w:rFonts w:cs="Arial"/>
                <w:color w:val="003643"/>
              </w:rPr>
              <w:t xml:space="preserve"> et al 2016 [B]; </w:t>
            </w:r>
            <w:proofErr w:type="spellStart"/>
            <w:r w:rsidRPr="00541AB9">
              <w:rPr>
                <w:rFonts w:cs="Arial"/>
                <w:color w:val="003643"/>
              </w:rPr>
              <w:t>Jasem</w:t>
            </w:r>
            <w:proofErr w:type="spellEnd"/>
            <w:r w:rsidRPr="00541AB9">
              <w:rPr>
                <w:rFonts w:cs="Arial"/>
                <w:color w:val="003643"/>
              </w:rPr>
              <w:t xml:space="preserve"> and </w:t>
            </w:r>
            <w:proofErr w:type="spellStart"/>
            <w:r w:rsidRPr="00541AB9">
              <w:rPr>
                <w:rFonts w:cs="Arial"/>
                <w:color w:val="003643"/>
              </w:rPr>
              <w:t>Delport</w:t>
            </w:r>
            <w:proofErr w:type="spellEnd"/>
            <w:r w:rsidRPr="00541AB9">
              <w:rPr>
                <w:rFonts w:cs="Arial"/>
                <w:color w:val="003643"/>
              </w:rPr>
              <w:t xml:space="preserve"> 2019 [B]; </w:t>
            </w:r>
            <w:proofErr w:type="spellStart"/>
            <w:r w:rsidRPr="00541AB9">
              <w:rPr>
                <w:rFonts w:cs="Arial"/>
                <w:color w:val="003643"/>
              </w:rPr>
              <w:t>Sterman</w:t>
            </w:r>
            <w:proofErr w:type="spellEnd"/>
            <w:r w:rsidRPr="00541AB9">
              <w:rPr>
                <w:rFonts w:cs="Arial"/>
                <w:color w:val="003643"/>
              </w:rPr>
              <w:t xml:space="preserve"> et al 2019 [B];</w:t>
            </w:r>
            <w:r w:rsidRPr="00541AB9">
              <w:rPr>
                <w:rFonts w:eastAsia="Times New Roman"/>
                <w:color w:val="003643"/>
                <w:lang w:eastAsia="en-GB"/>
              </w:rPr>
              <w:t xml:space="preserve"> </w:t>
            </w:r>
            <w:proofErr w:type="spellStart"/>
            <w:r w:rsidRPr="00541AB9">
              <w:rPr>
                <w:rFonts w:cs="Arial"/>
                <w:color w:val="003643"/>
              </w:rPr>
              <w:t>Coussens</w:t>
            </w:r>
            <w:proofErr w:type="spellEnd"/>
            <w:r w:rsidRPr="00541AB9">
              <w:rPr>
                <w:rFonts w:cs="Arial"/>
                <w:color w:val="003643"/>
              </w:rPr>
              <w:t xml:space="preserve"> et al 2020 [B]; Graham et al 2015 [C]; Román-</w:t>
            </w:r>
            <w:proofErr w:type="spellStart"/>
            <w:r w:rsidRPr="00541AB9">
              <w:rPr>
                <w:rFonts w:cs="Arial"/>
                <w:color w:val="003643"/>
              </w:rPr>
              <w:t>Oyola</w:t>
            </w:r>
            <w:proofErr w:type="spellEnd"/>
            <w:r w:rsidRPr="00541AB9">
              <w:rPr>
                <w:rFonts w:cs="Arial"/>
                <w:color w:val="003643"/>
              </w:rPr>
              <w:t xml:space="preserve"> et al 2018 [C])</w:t>
            </w:r>
          </w:p>
          <w:p w14:paraId="55893563" w14:textId="77777777" w:rsidR="00B84658" w:rsidRPr="00A23B16" w:rsidRDefault="00B84658" w:rsidP="008E6066">
            <w:pPr>
              <w:pStyle w:val="ListParagraph"/>
              <w:ind w:left="0"/>
              <w:rPr>
                <w:rFonts w:cs="Arial"/>
                <w:color w:val="003643"/>
              </w:rPr>
            </w:pPr>
          </w:p>
        </w:tc>
        <w:tc>
          <w:tcPr>
            <w:tcW w:w="1224" w:type="dxa"/>
          </w:tcPr>
          <w:p w14:paraId="0BD20377" w14:textId="77777777" w:rsidR="00B84658" w:rsidRPr="00A23B16" w:rsidRDefault="00B84658" w:rsidP="008E6066">
            <w:pPr>
              <w:pStyle w:val="ListParagraph"/>
              <w:ind w:left="227"/>
              <w:rPr>
                <w:rFonts w:cs="Arial"/>
                <w:color w:val="003643"/>
              </w:rPr>
            </w:pPr>
            <w:r w:rsidRPr="00A23B16">
              <w:rPr>
                <w:rFonts w:cs="Arial"/>
                <w:color w:val="003643"/>
              </w:rPr>
              <w:t>1A</w:t>
            </w:r>
          </w:p>
        </w:tc>
      </w:tr>
      <w:tr w:rsidR="00B84658" w:rsidRPr="00BC0AFF" w14:paraId="02B7C92A" w14:textId="77777777" w:rsidTr="00531139">
        <w:tc>
          <w:tcPr>
            <w:tcW w:w="7792" w:type="dxa"/>
          </w:tcPr>
          <w:p w14:paraId="0EA1B365" w14:textId="77777777" w:rsidR="00B84658" w:rsidRPr="00A23B16" w:rsidRDefault="00B84658" w:rsidP="00B84658">
            <w:pPr>
              <w:pStyle w:val="ListParagraph"/>
              <w:widowControl w:val="0"/>
              <w:numPr>
                <w:ilvl w:val="0"/>
                <w:numId w:val="11"/>
              </w:numPr>
              <w:autoSpaceDE w:val="0"/>
              <w:autoSpaceDN w:val="0"/>
              <w:adjustRightInd w:val="0"/>
              <w:spacing w:before="90"/>
              <w:ind w:left="714" w:hanging="357"/>
              <w:rPr>
                <w:rFonts w:cs="Arial"/>
                <w:color w:val="003643"/>
              </w:rPr>
            </w:pPr>
            <w:r w:rsidRPr="00A23B16">
              <w:rPr>
                <w:rFonts w:cs="Arial"/>
                <w:color w:val="003643"/>
              </w:rPr>
              <w:t>It is recommended</w:t>
            </w:r>
            <w:r w:rsidRPr="00A23B16">
              <w:rPr>
                <w:rFonts w:cs="Arial"/>
                <w:b/>
                <w:i/>
                <w:color w:val="003643"/>
              </w:rPr>
              <w:t xml:space="preserve"> </w:t>
            </w:r>
            <w:r w:rsidRPr="00A23B16">
              <w:rPr>
                <w:rFonts w:cs="Arial"/>
                <w:color w:val="003643"/>
              </w:rPr>
              <w:t>that occupational therapists consider the influence of the social context of play on children and young people’s play participation when setting and evaluating intervention goals.</w:t>
            </w:r>
          </w:p>
          <w:p w14:paraId="6C6BE21C" w14:textId="77777777" w:rsidR="00B84658" w:rsidRPr="00A23B16" w:rsidRDefault="00B84658" w:rsidP="008E6066">
            <w:pPr>
              <w:ind w:left="902" w:hanging="227"/>
              <w:rPr>
                <w:rFonts w:cs="Arial"/>
                <w:color w:val="003643"/>
              </w:rPr>
            </w:pPr>
          </w:p>
          <w:p w14:paraId="01CE43C3" w14:textId="77777777" w:rsidR="00B84658" w:rsidRPr="00A23B16" w:rsidRDefault="00B84658" w:rsidP="008E6066">
            <w:pPr>
              <w:ind w:left="680"/>
              <w:rPr>
                <w:rFonts w:cs="Arial"/>
                <w:color w:val="003643"/>
              </w:rPr>
            </w:pPr>
            <w:r w:rsidRPr="00A23B16">
              <w:rPr>
                <w:rFonts w:cs="Arial"/>
                <w:color w:val="003643"/>
              </w:rPr>
              <w:t>(Kent et al 2021 [A]; Wilkes-</w:t>
            </w:r>
            <w:proofErr w:type="spellStart"/>
            <w:r w:rsidRPr="00A23B16">
              <w:rPr>
                <w:rFonts w:cs="Arial"/>
                <w:color w:val="003643"/>
              </w:rPr>
              <w:t>Gillan</w:t>
            </w:r>
            <w:proofErr w:type="spellEnd"/>
            <w:r w:rsidRPr="00A23B16">
              <w:rPr>
                <w:rFonts w:cs="Arial"/>
                <w:color w:val="003643"/>
              </w:rPr>
              <w:t xml:space="preserve"> et al 2016 [A]; Moore and Lynch 2015 [B]; </w:t>
            </w:r>
            <w:proofErr w:type="spellStart"/>
            <w:r w:rsidRPr="00A23B16">
              <w:rPr>
                <w:color w:val="003643"/>
              </w:rPr>
              <w:t>St</w:t>
            </w:r>
            <w:r w:rsidRPr="00A23B16">
              <w:rPr>
                <w:rFonts w:cs="Arial"/>
                <w:color w:val="003643"/>
              </w:rPr>
              <w:t>agnitti</w:t>
            </w:r>
            <w:proofErr w:type="spellEnd"/>
            <w:r w:rsidRPr="00A23B16">
              <w:rPr>
                <w:rFonts w:cs="Arial"/>
                <w:color w:val="003643"/>
              </w:rPr>
              <w:t xml:space="preserve"> et al 2012 [C])</w:t>
            </w:r>
          </w:p>
          <w:p w14:paraId="610A3F6B" w14:textId="77777777" w:rsidR="00B84658" w:rsidRPr="00A23B16" w:rsidRDefault="00B84658" w:rsidP="008E6066">
            <w:pPr>
              <w:pStyle w:val="ListParagraph"/>
              <w:ind w:left="0"/>
              <w:rPr>
                <w:rFonts w:cs="Arial"/>
                <w:b/>
                <w:bCs/>
                <w:i/>
                <w:iCs/>
                <w:color w:val="003643"/>
              </w:rPr>
            </w:pPr>
          </w:p>
        </w:tc>
        <w:tc>
          <w:tcPr>
            <w:tcW w:w="1224" w:type="dxa"/>
          </w:tcPr>
          <w:p w14:paraId="612FD2D3" w14:textId="77777777" w:rsidR="00B84658" w:rsidRPr="00A23B16" w:rsidRDefault="00B84658" w:rsidP="008E6066">
            <w:pPr>
              <w:pStyle w:val="ListParagraph"/>
              <w:ind w:left="227"/>
              <w:rPr>
                <w:rFonts w:cs="Arial"/>
                <w:color w:val="003643"/>
              </w:rPr>
            </w:pPr>
            <w:r w:rsidRPr="00A23B16">
              <w:rPr>
                <w:rFonts w:cs="Arial"/>
                <w:color w:val="003643"/>
              </w:rPr>
              <w:t>1A</w:t>
            </w:r>
          </w:p>
        </w:tc>
      </w:tr>
    </w:tbl>
    <w:p w14:paraId="26F5B1B4" w14:textId="77777777" w:rsidR="00B84658" w:rsidRDefault="00B84658" w:rsidP="005C6AFE">
      <w:pPr>
        <w:pStyle w:val="BodyText"/>
        <w:kinsoku w:val="0"/>
        <w:overflowPunct w:val="0"/>
        <w:spacing w:before="2"/>
        <w:ind w:left="0"/>
        <w:rPr>
          <w:rFonts w:ascii="Arial" w:hAnsi="Arial" w:cs="Arial"/>
          <w:color w:val="003643"/>
          <w:sz w:val="17"/>
          <w:szCs w:val="17"/>
        </w:rPr>
      </w:pPr>
    </w:p>
    <w:p w14:paraId="4BF0D9B7" w14:textId="77777777" w:rsidR="00626E36" w:rsidRDefault="00626E36" w:rsidP="005C6AFE">
      <w:pPr>
        <w:pStyle w:val="BodyText"/>
        <w:kinsoku w:val="0"/>
        <w:overflowPunct w:val="0"/>
        <w:spacing w:before="2"/>
        <w:ind w:left="0"/>
        <w:rPr>
          <w:rFonts w:ascii="Arial" w:hAnsi="Arial" w:cs="Arial"/>
          <w:color w:val="003643"/>
          <w:sz w:val="17"/>
          <w:szCs w:val="17"/>
        </w:rPr>
      </w:pPr>
    </w:p>
    <w:p w14:paraId="4AC70674" w14:textId="77777777" w:rsidR="00626E36" w:rsidRDefault="00626E36" w:rsidP="005C6AFE">
      <w:pPr>
        <w:pStyle w:val="BodyText"/>
        <w:kinsoku w:val="0"/>
        <w:overflowPunct w:val="0"/>
        <w:spacing w:before="2"/>
        <w:ind w:left="0"/>
        <w:rPr>
          <w:rFonts w:ascii="Arial" w:hAnsi="Arial" w:cs="Arial"/>
          <w:color w:val="003643"/>
          <w:sz w:val="17"/>
          <w:szCs w:val="17"/>
        </w:rPr>
      </w:pPr>
    </w:p>
    <w:p w14:paraId="0FAD6A5D" w14:textId="77777777" w:rsidR="00626E36" w:rsidRDefault="00626E36" w:rsidP="005C6AFE">
      <w:pPr>
        <w:pStyle w:val="BodyText"/>
        <w:kinsoku w:val="0"/>
        <w:overflowPunct w:val="0"/>
        <w:spacing w:before="2"/>
        <w:ind w:left="0"/>
        <w:rPr>
          <w:rFonts w:ascii="Arial" w:hAnsi="Arial" w:cs="Arial"/>
          <w:color w:val="003643"/>
          <w:sz w:val="17"/>
          <w:szCs w:val="17"/>
        </w:rPr>
      </w:pPr>
    </w:p>
    <w:p w14:paraId="5288E238" w14:textId="77777777" w:rsidR="00626E36" w:rsidRDefault="00626E36" w:rsidP="005C6AFE">
      <w:pPr>
        <w:pStyle w:val="BodyText"/>
        <w:kinsoku w:val="0"/>
        <w:overflowPunct w:val="0"/>
        <w:spacing w:before="2"/>
        <w:ind w:left="0"/>
        <w:rPr>
          <w:rFonts w:ascii="Arial" w:hAnsi="Arial" w:cs="Arial"/>
          <w:color w:val="003643"/>
          <w:sz w:val="17"/>
          <w:szCs w:val="17"/>
        </w:rPr>
      </w:pPr>
    </w:p>
    <w:p w14:paraId="16CDECA8" w14:textId="77777777" w:rsidR="00626E36" w:rsidRPr="00C0500F" w:rsidRDefault="00626E36" w:rsidP="005C6AFE">
      <w:pPr>
        <w:pStyle w:val="BodyText"/>
        <w:kinsoku w:val="0"/>
        <w:overflowPunct w:val="0"/>
        <w:spacing w:before="2"/>
        <w:ind w:left="0"/>
        <w:rPr>
          <w:rFonts w:ascii="Arial" w:hAnsi="Arial" w:cs="Arial"/>
          <w:color w:val="003643"/>
          <w:sz w:val="17"/>
          <w:szCs w:val="17"/>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2"/>
        <w:gridCol w:w="1224"/>
      </w:tblGrid>
      <w:tr w:rsidR="00F40DDB" w:rsidRPr="00BC0AFF" w14:paraId="165FDA9F" w14:textId="77777777" w:rsidTr="00531139">
        <w:tc>
          <w:tcPr>
            <w:tcW w:w="9016" w:type="dxa"/>
            <w:gridSpan w:val="2"/>
            <w:shd w:val="clear" w:color="auto" w:fill="003643"/>
          </w:tcPr>
          <w:p w14:paraId="4C954AB5" w14:textId="77777777" w:rsidR="00F40DDB" w:rsidRPr="00F40DDB" w:rsidRDefault="00F40DDB" w:rsidP="008E6066">
            <w:pPr>
              <w:spacing w:before="100" w:beforeAutospacing="1" w:after="100" w:afterAutospacing="1"/>
              <w:rPr>
                <w:rFonts w:cs="Arial"/>
                <w:b/>
                <w:bCs/>
                <w:color w:val="FFFFFF" w:themeColor="background1"/>
                <w:sz w:val="28"/>
                <w:szCs w:val="28"/>
              </w:rPr>
            </w:pPr>
            <w:r w:rsidRPr="00F40DDB">
              <w:rPr>
                <w:rFonts w:cs="Arial"/>
                <w:b/>
                <w:bCs/>
                <w:color w:val="FFFFFF" w:themeColor="background1"/>
                <w:sz w:val="28"/>
                <w:szCs w:val="28"/>
              </w:rPr>
              <w:lastRenderedPageBreak/>
              <w:t>Assessment recommendations</w:t>
            </w:r>
          </w:p>
        </w:tc>
      </w:tr>
      <w:tr w:rsidR="00F40DDB" w:rsidRPr="00545C7A" w14:paraId="1D0332EF" w14:textId="77777777" w:rsidTr="00531139">
        <w:tc>
          <w:tcPr>
            <w:tcW w:w="7792" w:type="dxa"/>
            <w:shd w:val="clear" w:color="auto" w:fill="003643"/>
          </w:tcPr>
          <w:p w14:paraId="7652C992" w14:textId="77777777" w:rsidR="00F40DDB" w:rsidRPr="00F40DDB" w:rsidRDefault="00F40DDB" w:rsidP="00F40DDB">
            <w:pPr>
              <w:rPr>
                <w:rFonts w:cs="Arial"/>
                <w:color w:val="FFFFFF" w:themeColor="background1"/>
              </w:rPr>
            </w:pPr>
            <w:r w:rsidRPr="00F40DDB">
              <w:rPr>
                <w:rFonts w:cs="Arial"/>
                <w:color w:val="FFFFFF" w:themeColor="background1"/>
              </w:rPr>
              <w:t>Recommendation and supporting evidence</w:t>
            </w:r>
          </w:p>
        </w:tc>
        <w:tc>
          <w:tcPr>
            <w:tcW w:w="1224" w:type="dxa"/>
            <w:shd w:val="clear" w:color="auto" w:fill="003643"/>
          </w:tcPr>
          <w:p w14:paraId="610BCEA3" w14:textId="77777777" w:rsidR="00F40DDB" w:rsidRPr="00F40DDB" w:rsidRDefault="00F40DDB" w:rsidP="00F40DDB">
            <w:pPr>
              <w:rPr>
                <w:rFonts w:cs="Arial"/>
                <w:color w:val="FFFFFF" w:themeColor="background1"/>
              </w:rPr>
            </w:pPr>
            <w:r w:rsidRPr="00F40DDB">
              <w:rPr>
                <w:rFonts w:cs="Arial"/>
                <w:color w:val="FFFFFF" w:themeColor="background1"/>
              </w:rPr>
              <w:t>Strength</w:t>
            </w:r>
          </w:p>
        </w:tc>
      </w:tr>
      <w:tr w:rsidR="00F40DDB" w:rsidRPr="00BC0AFF" w14:paraId="2CAD6BB7" w14:textId="77777777" w:rsidTr="00531139">
        <w:tc>
          <w:tcPr>
            <w:tcW w:w="7792" w:type="dxa"/>
          </w:tcPr>
          <w:p w14:paraId="1EC5CDFF" w14:textId="77777777" w:rsidR="00F40DDB" w:rsidRPr="00F40DDB" w:rsidRDefault="00F40DDB" w:rsidP="00F40DDB">
            <w:pPr>
              <w:pStyle w:val="ListParagraph"/>
              <w:widowControl w:val="0"/>
              <w:numPr>
                <w:ilvl w:val="0"/>
                <w:numId w:val="11"/>
              </w:numPr>
              <w:spacing w:before="100" w:beforeAutospacing="1" w:after="100" w:afterAutospacing="1"/>
              <w:rPr>
                <w:rFonts w:cs="Arial"/>
                <w:color w:val="003643"/>
              </w:rPr>
            </w:pPr>
            <w:r w:rsidRPr="00F40DDB">
              <w:rPr>
                <w:rFonts w:cs="Arial"/>
                <w:color w:val="003643"/>
              </w:rPr>
              <w:t xml:space="preserve">If using a standardised assessment of play, it is recommended that occupational therapists consider the psychometric properties of the measure and their suitability to the clinical presentation and cultural context of the child. </w:t>
            </w:r>
          </w:p>
          <w:p w14:paraId="257C7AF1" w14:textId="77777777" w:rsidR="00F40DDB" w:rsidRPr="00F40DDB" w:rsidRDefault="00F40DDB" w:rsidP="008E6066">
            <w:pPr>
              <w:pStyle w:val="ListParagraph"/>
              <w:ind w:left="902"/>
              <w:rPr>
                <w:rFonts w:cs="Arial"/>
                <w:color w:val="003643"/>
              </w:rPr>
            </w:pPr>
          </w:p>
          <w:p w14:paraId="33853815" w14:textId="77777777" w:rsidR="00F40DDB" w:rsidRPr="00F40DDB" w:rsidRDefault="00F40DDB" w:rsidP="0086341F">
            <w:pPr>
              <w:pStyle w:val="ListParagraph"/>
              <w:ind w:left="675"/>
              <w:rPr>
                <w:rFonts w:cs="Arial"/>
                <w:color w:val="003643"/>
              </w:rPr>
            </w:pPr>
            <w:r w:rsidRPr="00F40DDB">
              <w:rPr>
                <w:rFonts w:cs="Arial"/>
                <w:color w:val="003643"/>
              </w:rPr>
              <w:t>(</w:t>
            </w:r>
            <w:proofErr w:type="spellStart"/>
            <w:r w:rsidRPr="00F40DDB">
              <w:rPr>
                <w:rFonts w:cs="Arial"/>
                <w:color w:val="003643"/>
              </w:rPr>
              <w:t>Romli</w:t>
            </w:r>
            <w:proofErr w:type="spellEnd"/>
            <w:r w:rsidRPr="00F40DDB">
              <w:rPr>
                <w:rFonts w:cs="Arial"/>
                <w:color w:val="003643"/>
              </w:rPr>
              <w:t xml:space="preserve"> and Wan </w:t>
            </w:r>
            <w:proofErr w:type="spellStart"/>
            <w:r w:rsidRPr="00F40DDB">
              <w:rPr>
                <w:rFonts w:cs="Arial"/>
                <w:color w:val="003643"/>
              </w:rPr>
              <w:t>Yunus</w:t>
            </w:r>
            <w:proofErr w:type="spellEnd"/>
            <w:r w:rsidRPr="00F40DDB">
              <w:rPr>
                <w:rFonts w:cs="Arial"/>
                <w:color w:val="003643"/>
              </w:rPr>
              <w:t xml:space="preserve"> 2020 [A])</w:t>
            </w:r>
          </w:p>
          <w:p w14:paraId="18C550E1" w14:textId="77777777" w:rsidR="00F40DDB" w:rsidRPr="00F40DDB" w:rsidRDefault="00F40DDB" w:rsidP="008E6066">
            <w:pPr>
              <w:pStyle w:val="ListParagraph"/>
              <w:ind w:left="902"/>
              <w:rPr>
                <w:rFonts w:cs="Arial"/>
                <w:i/>
                <w:iCs/>
                <w:color w:val="003643"/>
              </w:rPr>
            </w:pPr>
          </w:p>
        </w:tc>
        <w:tc>
          <w:tcPr>
            <w:tcW w:w="1224" w:type="dxa"/>
          </w:tcPr>
          <w:p w14:paraId="64BC73A5" w14:textId="77777777" w:rsidR="00F40DDB" w:rsidRPr="00F40DDB" w:rsidRDefault="00F40DDB" w:rsidP="008E6066">
            <w:pPr>
              <w:spacing w:before="100" w:beforeAutospacing="1" w:after="100" w:afterAutospacing="1"/>
              <w:rPr>
                <w:rFonts w:eastAsia="Times New Roman" w:cs="Arial"/>
                <w:color w:val="003643"/>
              </w:rPr>
            </w:pPr>
            <w:r w:rsidRPr="00F40DDB">
              <w:rPr>
                <w:rFonts w:eastAsia="Times New Roman" w:cs="Arial"/>
                <w:color w:val="003643"/>
              </w:rPr>
              <w:t>1A</w:t>
            </w:r>
          </w:p>
        </w:tc>
      </w:tr>
      <w:tr w:rsidR="00F40DDB" w:rsidRPr="00BC0AFF" w14:paraId="6EBAF104" w14:textId="77777777" w:rsidTr="00531139">
        <w:tc>
          <w:tcPr>
            <w:tcW w:w="7792" w:type="dxa"/>
          </w:tcPr>
          <w:p w14:paraId="140A1F1A" w14:textId="591EE079" w:rsidR="00F40DDB" w:rsidRPr="0086341F" w:rsidRDefault="00F40DDB" w:rsidP="00F40DDB">
            <w:pPr>
              <w:pStyle w:val="ListParagraph"/>
              <w:widowControl w:val="0"/>
              <w:numPr>
                <w:ilvl w:val="0"/>
                <w:numId w:val="12"/>
              </w:numPr>
              <w:autoSpaceDE w:val="0"/>
              <w:autoSpaceDN w:val="0"/>
              <w:adjustRightInd w:val="0"/>
              <w:spacing w:before="90"/>
              <w:contextualSpacing w:val="0"/>
              <w:rPr>
                <w:rFonts w:cs="Arial"/>
                <w:color w:val="003643"/>
                <w:lang w:val="en-US"/>
              </w:rPr>
            </w:pPr>
            <w:r w:rsidRPr="00F40DDB">
              <w:rPr>
                <w:rFonts w:cs="Arial"/>
                <w:color w:val="003643"/>
              </w:rPr>
              <w:t xml:space="preserve">When assessing participation in play of </w:t>
            </w:r>
            <w:proofErr w:type="gramStart"/>
            <w:r w:rsidRPr="00F40DDB">
              <w:rPr>
                <w:rFonts w:cs="Arial"/>
                <w:color w:val="003643"/>
              </w:rPr>
              <w:t>0-5 year olds</w:t>
            </w:r>
            <w:proofErr w:type="gramEnd"/>
            <w:r w:rsidRPr="00F40DDB">
              <w:rPr>
                <w:rFonts w:cs="Arial"/>
                <w:color w:val="003643"/>
              </w:rPr>
              <w:t>, it is recommended that occupational therapists consider both the child’s attendance (frequency of taking part) as well as the child’s involvement (experience of taking part) in play.</w:t>
            </w:r>
          </w:p>
          <w:p w14:paraId="10966E02" w14:textId="77777777" w:rsidR="0086341F" w:rsidRPr="00F40DDB" w:rsidRDefault="0086341F" w:rsidP="0086341F">
            <w:pPr>
              <w:pStyle w:val="ListParagraph"/>
              <w:widowControl w:val="0"/>
              <w:autoSpaceDE w:val="0"/>
              <w:autoSpaceDN w:val="0"/>
              <w:adjustRightInd w:val="0"/>
              <w:spacing w:before="90"/>
              <w:contextualSpacing w:val="0"/>
              <w:rPr>
                <w:rFonts w:cs="Arial"/>
                <w:color w:val="003643"/>
                <w:lang w:val="en-US"/>
              </w:rPr>
            </w:pPr>
          </w:p>
          <w:p w14:paraId="6357F731" w14:textId="77777777" w:rsidR="00F40DDB" w:rsidRPr="00F40DDB" w:rsidRDefault="00F40DDB" w:rsidP="008E6066">
            <w:pPr>
              <w:pStyle w:val="ListParagraph"/>
              <w:rPr>
                <w:rFonts w:cs="Arial"/>
                <w:color w:val="003643"/>
                <w:lang w:val="en-US"/>
              </w:rPr>
            </w:pPr>
            <w:r w:rsidRPr="00F40DDB">
              <w:rPr>
                <w:rFonts w:cs="Arial"/>
                <w:color w:val="003643"/>
                <w:lang w:val="en-US"/>
              </w:rPr>
              <w:t>(Mobbs et al 2021 [B])</w:t>
            </w:r>
          </w:p>
          <w:p w14:paraId="40B30F55" w14:textId="77777777" w:rsidR="00F40DDB" w:rsidRPr="00F40DDB" w:rsidRDefault="00F40DDB" w:rsidP="008E6066">
            <w:pPr>
              <w:ind w:left="360"/>
              <w:rPr>
                <w:rFonts w:cs="Arial"/>
                <w:bCs/>
                <w:color w:val="003643"/>
              </w:rPr>
            </w:pPr>
          </w:p>
        </w:tc>
        <w:tc>
          <w:tcPr>
            <w:tcW w:w="1224" w:type="dxa"/>
          </w:tcPr>
          <w:p w14:paraId="30600560" w14:textId="77777777" w:rsidR="00F40DDB" w:rsidRPr="00F40DDB" w:rsidRDefault="00F40DDB" w:rsidP="008E6066">
            <w:pPr>
              <w:rPr>
                <w:rFonts w:eastAsia="Times New Roman" w:cs="Arial"/>
                <w:color w:val="003643"/>
              </w:rPr>
            </w:pPr>
            <w:r w:rsidRPr="00F40DDB">
              <w:rPr>
                <w:rFonts w:eastAsia="Times New Roman" w:cs="Arial"/>
                <w:color w:val="003643"/>
              </w:rPr>
              <w:t>1B</w:t>
            </w:r>
          </w:p>
        </w:tc>
      </w:tr>
      <w:tr w:rsidR="00F40DDB" w:rsidRPr="00BC0AFF" w14:paraId="079355AB" w14:textId="77777777" w:rsidTr="00531139">
        <w:tc>
          <w:tcPr>
            <w:tcW w:w="7792" w:type="dxa"/>
          </w:tcPr>
          <w:p w14:paraId="14BD08B0" w14:textId="77777777" w:rsidR="00F40DDB" w:rsidRPr="00F40DDB" w:rsidRDefault="00F40DDB" w:rsidP="00F40DDB">
            <w:pPr>
              <w:pStyle w:val="ListParagraph"/>
              <w:widowControl w:val="0"/>
              <w:numPr>
                <w:ilvl w:val="0"/>
                <w:numId w:val="12"/>
              </w:numPr>
              <w:spacing w:before="100" w:beforeAutospacing="1" w:after="100" w:afterAutospacing="1"/>
              <w:rPr>
                <w:rFonts w:cs="Arial"/>
                <w:color w:val="003643"/>
              </w:rPr>
            </w:pPr>
            <w:r w:rsidRPr="00F40DDB">
              <w:rPr>
                <w:rFonts w:cs="Arial"/>
                <w:color w:val="003643"/>
              </w:rPr>
              <w:t>When assessing play, it is recommended</w:t>
            </w:r>
            <w:r w:rsidRPr="00F40DDB">
              <w:rPr>
                <w:rFonts w:cs="Arial"/>
                <w:b/>
                <w:color w:val="003643"/>
              </w:rPr>
              <w:t xml:space="preserve"> </w:t>
            </w:r>
            <w:r w:rsidRPr="00F40DDB">
              <w:rPr>
                <w:rFonts w:cs="Arial"/>
                <w:color w:val="003643"/>
              </w:rPr>
              <w:t xml:space="preserve">that occupational therapists consider the impact of the physical environment (wheelchair use, play items and equipment) and the social environment (other people) on participation in play. </w:t>
            </w:r>
            <w:r w:rsidRPr="00F40DDB">
              <w:rPr>
                <w:rFonts w:cs="Arial"/>
                <w:color w:val="003643"/>
              </w:rPr>
              <w:br/>
            </w:r>
          </w:p>
          <w:p w14:paraId="33030082" w14:textId="0DA6D9CE" w:rsidR="00F40DDB" w:rsidRPr="00F40DDB" w:rsidRDefault="00A35FD1" w:rsidP="008E6066">
            <w:pPr>
              <w:pStyle w:val="ListParagraph"/>
              <w:spacing w:before="100" w:beforeAutospacing="1" w:after="100" w:afterAutospacing="1"/>
              <w:ind w:left="675"/>
              <w:rPr>
                <w:rFonts w:cs="Arial"/>
                <w:color w:val="003643"/>
              </w:rPr>
            </w:pPr>
            <w:r w:rsidRPr="00A35FD1">
              <w:rPr>
                <w:rFonts w:cs="Arial"/>
                <w:color w:val="003643"/>
              </w:rPr>
              <w:t>(</w:t>
            </w:r>
            <w:proofErr w:type="spellStart"/>
            <w:r w:rsidRPr="00A35FD1">
              <w:rPr>
                <w:rFonts w:cs="Arial"/>
                <w:color w:val="003643"/>
              </w:rPr>
              <w:t>Engelen</w:t>
            </w:r>
            <w:proofErr w:type="spellEnd"/>
            <w:r w:rsidRPr="00A35FD1">
              <w:rPr>
                <w:rFonts w:cs="Arial"/>
                <w:color w:val="003643"/>
              </w:rPr>
              <w:t xml:space="preserve"> et al 2013 [A]; Rousseau-Harrison and Rochette 2013 [A]; </w:t>
            </w:r>
            <w:proofErr w:type="spellStart"/>
            <w:r w:rsidRPr="00A35FD1">
              <w:rPr>
                <w:rFonts w:cs="Arial"/>
                <w:color w:val="003643"/>
              </w:rPr>
              <w:t>Guerette</w:t>
            </w:r>
            <w:proofErr w:type="spellEnd"/>
            <w:r w:rsidRPr="00A35FD1">
              <w:rPr>
                <w:rFonts w:cs="Arial"/>
                <w:color w:val="003643"/>
              </w:rPr>
              <w:t xml:space="preserve"> et al 2013 [C]); </w:t>
            </w:r>
            <w:proofErr w:type="spellStart"/>
            <w:r w:rsidRPr="00A35FD1">
              <w:rPr>
                <w:rFonts w:cs="Arial"/>
                <w:color w:val="003643"/>
              </w:rPr>
              <w:t>Sonday</w:t>
            </w:r>
            <w:proofErr w:type="spellEnd"/>
            <w:r w:rsidRPr="00A35FD1">
              <w:rPr>
                <w:rFonts w:cs="Arial"/>
                <w:color w:val="003643"/>
              </w:rPr>
              <w:t xml:space="preserve"> and </w:t>
            </w:r>
            <w:proofErr w:type="spellStart"/>
            <w:r w:rsidRPr="00A35FD1">
              <w:rPr>
                <w:rFonts w:cs="Arial"/>
                <w:color w:val="003643"/>
              </w:rPr>
              <w:t>Gretschel</w:t>
            </w:r>
            <w:proofErr w:type="spellEnd"/>
            <w:r w:rsidRPr="00A35FD1">
              <w:rPr>
                <w:rFonts w:cs="Arial"/>
                <w:color w:val="003643"/>
              </w:rPr>
              <w:t xml:space="preserve"> 2016 [C]) </w:t>
            </w:r>
            <w:r w:rsidRPr="00A35FD1">
              <w:rPr>
                <w:rFonts w:cs="Arial"/>
                <w:color w:val="003643"/>
              </w:rPr>
              <w:br/>
            </w:r>
          </w:p>
        </w:tc>
        <w:tc>
          <w:tcPr>
            <w:tcW w:w="1224" w:type="dxa"/>
          </w:tcPr>
          <w:p w14:paraId="15375A63" w14:textId="77777777" w:rsidR="00F40DDB" w:rsidRPr="00F40DDB" w:rsidRDefault="00F40DDB" w:rsidP="008E6066">
            <w:pPr>
              <w:rPr>
                <w:rFonts w:eastAsia="Times New Roman" w:cs="Arial"/>
                <w:color w:val="003643"/>
              </w:rPr>
            </w:pPr>
            <w:r w:rsidRPr="00F40DDB">
              <w:rPr>
                <w:rFonts w:eastAsia="Times New Roman" w:cs="Arial"/>
                <w:color w:val="003643"/>
              </w:rPr>
              <w:t>1A</w:t>
            </w:r>
          </w:p>
        </w:tc>
      </w:tr>
    </w:tbl>
    <w:p w14:paraId="06E72D00" w14:textId="7C18C272" w:rsidR="009D5183" w:rsidRDefault="009D5183" w:rsidP="005C6AFE">
      <w:pPr>
        <w:autoSpaceDE w:val="0"/>
        <w:autoSpaceDN w:val="0"/>
        <w:adjustRightInd w:val="0"/>
        <w:rPr>
          <w:rFonts w:cs="Arial"/>
          <w:color w:val="003643"/>
        </w:rPr>
      </w:pPr>
    </w:p>
    <w:p w14:paraId="6A75EAF0" w14:textId="77777777" w:rsidR="0062029B" w:rsidRDefault="0062029B" w:rsidP="005C6AFE">
      <w:pPr>
        <w:autoSpaceDE w:val="0"/>
        <w:autoSpaceDN w:val="0"/>
        <w:adjustRightInd w:val="0"/>
        <w:rPr>
          <w:rFonts w:cs="Arial"/>
          <w:color w:val="003643"/>
        </w:rPr>
      </w:pPr>
    </w:p>
    <w:p w14:paraId="79AFD0F7" w14:textId="77777777" w:rsidR="0062029B" w:rsidRDefault="0062029B" w:rsidP="005C6AFE">
      <w:pPr>
        <w:autoSpaceDE w:val="0"/>
        <w:autoSpaceDN w:val="0"/>
        <w:adjustRightInd w:val="0"/>
        <w:rPr>
          <w:rFonts w:cs="Arial"/>
          <w:color w:val="003643"/>
        </w:rPr>
      </w:pPr>
    </w:p>
    <w:p w14:paraId="6E0C64BA" w14:textId="77777777" w:rsidR="0062029B" w:rsidRDefault="0062029B" w:rsidP="005C6AFE">
      <w:pPr>
        <w:autoSpaceDE w:val="0"/>
        <w:autoSpaceDN w:val="0"/>
        <w:adjustRightInd w:val="0"/>
        <w:rPr>
          <w:rFonts w:cs="Arial"/>
          <w:color w:val="003643"/>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2"/>
        <w:gridCol w:w="1224"/>
      </w:tblGrid>
      <w:tr w:rsidR="007D49BB" w:rsidRPr="00BC0AFF" w14:paraId="16C6E71E" w14:textId="77777777" w:rsidTr="007D49BB">
        <w:tc>
          <w:tcPr>
            <w:tcW w:w="9016" w:type="dxa"/>
            <w:gridSpan w:val="2"/>
            <w:shd w:val="clear" w:color="auto" w:fill="003643"/>
          </w:tcPr>
          <w:p w14:paraId="5CFAA633" w14:textId="77777777" w:rsidR="007D49BB" w:rsidRPr="007D49BB" w:rsidRDefault="007D49BB" w:rsidP="008E6066">
            <w:pPr>
              <w:spacing w:before="100" w:beforeAutospacing="1" w:after="100" w:afterAutospacing="1"/>
              <w:rPr>
                <w:rFonts w:cs="Arial"/>
                <w:b/>
                <w:bCs/>
                <w:color w:val="FFFFFF" w:themeColor="background1"/>
                <w:sz w:val="28"/>
                <w:szCs w:val="28"/>
              </w:rPr>
            </w:pPr>
            <w:r w:rsidRPr="007D49BB">
              <w:rPr>
                <w:rFonts w:cs="Arial"/>
                <w:b/>
                <w:bCs/>
                <w:color w:val="FFFFFF" w:themeColor="background1"/>
                <w:sz w:val="28"/>
                <w:szCs w:val="28"/>
              </w:rPr>
              <w:t>Intervention recommendations</w:t>
            </w:r>
          </w:p>
        </w:tc>
      </w:tr>
      <w:tr w:rsidR="007D49BB" w:rsidRPr="00BC0AFF" w14:paraId="152013A6" w14:textId="77777777" w:rsidTr="007D49BB">
        <w:tc>
          <w:tcPr>
            <w:tcW w:w="9016" w:type="dxa"/>
            <w:gridSpan w:val="2"/>
            <w:shd w:val="clear" w:color="auto" w:fill="003643"/>
          </w:tcPr>
          <w:p w14:paraId="679D35A6" w14:textId="77777777" w:rsidR="007D49BB" w:rsidRPr="007D49BB" w:rsidRDefault="007D49BB" w:rsidP="008E6066">
            <w:pPr>
              <w:spacing w:before="100" w:beforeAutospacing="1" w:after="100" w:afterAutospacing="1"/>
              <w:rPr>
                <w:rFonts w:cs="Arial"/>
                <w:b/>
                <w:bCs/>
                <w:color w:val="FFFFFF" w:themeColor="background1"/>
                <w:sz w:val="24"/>
                <w:szCs w:val="24"/>
              </w:rPr>
            </w:pPr>
            <w:r w:rsidRPr="007D49BB">
              <w:rPr>
                <w:rFonts w:cs="Arial"/>
                <w:b/>
                <w:bCs/>
                <w:color w:val="FFFFFF" w:themeColor="background1"/>
                <w:sz w:val="24"/>
                <w:szCs w:val="24"/>
              </w:rPr>
              <w:t>Interventions to support participation in play</w:t>
            </w:r>
          </w:p>
        </w:tc>
      </w:tr>
      <w:tr w:rsidR="007D49BB" w:rsidRPr="00545C7A" w14:paraId="2DFB7DA1" w14:textId="77777777" w:rsidTr="007D49BB">
        <w:tc>
          <w:tcPr>
            <w:tcW w:w="7792" w:type="dxa"/>
            <w:shd w:val="clear" w:color="auto" w:fill="003643"/>
          </w:tcPr>
          <w:p w14:paraId="0A9E81D4" w14:textId="77777777" w:rsidR="007D49BB" w:rsidRPr="007D49BB" w:rsidRDefault="007D49BB" w:rsidP="007D49BB">
            <w:pPr>
              <w:rPr>
                <w:rFonts w:cs="Arial"/>
                <w:color w:val="FFFFFF" w:themeColor="background1"/>
              </w:rPr>
            </w:pPr>
            <w:r w:rsidRPr="007D49BB">
              <w:rPr>
                <w:rFonts w:cs="Arial"/>
                <w:color w:val="FFFFFF" w:themeColor="background1"/>
              </w:rPr>
              <w:t>Recommendation and supporting evidence</w:t>
            </w:r>
          </w:p>
        </w:tc>
        <w:tc>
          <w:tcPr>
            <w:tcW w:w="1224" w:type="dxa"/>
            <w:shd w:val="clear" w:color="auto" w:fill="003643"/>
          </w:tcPr>
          <w:p w14:paraId="7DE7502B" w14:textId="77777777" w:rsidR="007D49BB" w:rsidRPr="007D49BB" w:rsidRDefault="007D49BB" w:rsidP="007D49BB">
            <w:pPr>
              <w:rPr>
                <w:rFonts w:cs="Arial"/>
                <w:color w:val="FFFFFF" w:themeColor="background1"/>
              </w:rPr>
            </w:pPr>
            <w:r w:rsidRPr="007D49BB">
              <w:rPr>
                <w:rFonts w:cs="Arial"/>
                <w:color w:val="FFFFFF" w:themeColor="background1"/>
              </w:rPr>
              <w:t>Strength</w:t>
            </w:r>
          </w:p>
        </w:tc>
      </w:tr>
      <w:tr w:rsidR="007D49BB" w:rsidRPr="00BC0AFF" w14:paraId="639FC9FF" w14:textId="77777777" w:rsidTr="007D49BB">
        <w:tc>
          <w:tcPr>
            <w:tcW w:w="7792" w:type="dxa"/>
          </w:tcPr>
          <w:p w14:paraId="240F54A5" w14:textId="77777777" w:rsidR="007D49BB" w:rsidRPr="007D49BB" w:rsidRDefault="007D49BB" w:rsidP="007D49BB">
            <w:pPr>
              <w:pStyle w:val="ListParagraph"/>
              <w:widowControl w:val="0"/>
              <w:numPr>
                <w:ilvl w:val="0"/>
                <w:numId w:val="13"/>
              </w:numPr>
              <w:autoSpaceDE w:val="0"/>
              <w:autoSpaceDN w:val="0"/>
              <w:adjustRightInd w:val="0"/>
              <w:spacing w:before="90"/>
              <w:contextualSpacing w:val="0"/>
              <w:rPr>
                <w:rFonts w:cs="Arial"/>
                <w:color w:val="003643"/>
                <w:lang w:eastAsia="en-GB"/>
              </w:rPr>
            </w:pPr>
            <w:r w:rsidRPr="007D49BB">
              <w:rPr>
                <w:rFonts w:cs="Arial"/>
                <w:color w:val="003643"/>
                <w:lang w:eastAsia="en-GB"/>
              </w:rPr>
              <w:t xml:space="preserve">For children with </w:t>
            </w:r>
            <w:r w:rsidRPr="007D49BB">
              <w:rPr>
                <w:rFonts w:cs="Arial"/>
                <w:b/>
                <w:bCs/>
                <w:color w:val="003643"/>
                <w:lang w:eastAsia="en-GB"/>
              </w:rPr>
              <w:t>attention deficit hyperactivity disorder</w:t>
            </w:r>
            <w:r w:rsidRPr="007D49BB">
              <w:rPr>
                <w:rFonts w:cs="Arial"/>
                <w:color w:val="003643"/>
                <w:lang w:eastAsia="en-GB"/>
              </w:rPr>
              <w:t xml:space="preserve"> (ADHD),</w:t>
            </w:r>
            <w:r w:rsidRPr="007D49BB">
              <w:rPr>
                <w:rFonts w:cs="Arial"/>
                <w:b/>
                <w:bCs/>
                <w:i/>
                <w:iCs/>
                <w:color w:val="003643"/>
                <w:lang w:eastAsia="en-GB"/>
              </w:rPr>
              <w:t xml:space="preserve"> </w:t>
            </w:r>
            <w:r w:rsidRPr="007D49BB">
              <w:rPr>
                <w:rFonts w:cs="Arial"/>
                <w:color w:val="003643"/>
                <w:lang w:eastAsia="en-GB"/>
              </w:rPr>
              <w:t xml:space="preserve">it is recommended that occupational therapists consider structured interventions with peer-to-peer interactions to improve social play skills where social play is the goal of therapy. </w:t>
            </w:r>
          </w:p>
          <w:p w14:paraId="7B2EF888" w14:textId="77777777" w:rsidR="007D49BB" w:rsidRPr="007D49BB" w:rsidRDefault="007D49BB" w:rsidP="000B010C">
            <w:pPr>
              <w:ind w:left="902" w:hanging="227"/>
              <w:rPr>
                <w:rFonts w:eastAsia="Times New Roman" w:cs="Arial"/>
                <w:color w:val="003643"/>
                <w:lang w:eastAsia="en-GB"/>
              </w:rPr>
            </w:pPr>
          </w:p>
          <w:p w14:paraId="54017B42" w14:textId="77777777" w:rsidR="007D49BB" w:rsidRPr="007D49BB" w:rsidRDefault="007D49BB" w:rsidP="000B010C">
            <w:pPr>
              <w:ind w:left="902" w:hanging="227"/>
              <w:rPr>
                <w:rFonts w:eastAsia="Times New Roman" w:cs="Arial"/>
                <w:color w:val="003643"/>
                <w:lang w:eastAsia="en-GB"/>
              </w:rPr>
            </w:pPr>
            <w:r w:rsidRPr="007D49BB">
              <w:rPr>
                <w:rFonts w:eastAsia="Times New Roman" w:cs="Arial"/>
                <w:color w:val="003643"/>
                <w:lang w:eastAsia="en-GB"/>
              </w:rPr>
              <w:t>(Wilkes-</w:t>
            </w:r>
            <w:proofErr w:type="spellStart"/>
            <w:r w:rsidRPr="007D49BB">
              <w:rPr>
                <w:rFonts w:eastAsia="Times New Roman" w:cs="Arial"/>
                <w:color w:val="003643"/>
                <w:lang w:eastAsia="en-GB"/>
              </w:rPr>
              <w:t>Gillan</w:t>
            </w:r>
            <w:proofErr w:type="spellEnd"/>
            <w:r w:rsidRPr="007D49BB">
              <w:rPr>
                <w:rFonts w:eastAsia="Times New Roman" w:cs="Arial"/>
                <w:color w:val="003643"/>
                <w:lang w:eastAsia="en-GB"/>
              </w:rPr>
              <w:t xml:space="preserve"> et al 2016 [A])</w:t>
            </w:r>
          </w:p>
          <w:p w14:paraId="57E26493" w14:textId="77777777" w:rsidR="007D49BB" w:rsidRPr="007D49BB" w:rsidRDefault="007D49BB" w:rsidP="008E6066">
            <w:pPr>
              <w:pStyle w:val="Normal4"/>
              <w:ind w:left="720"/>
              <w:rPr>
                <w:rFonts w:ascii="Arial" w:hAnsi="Arial" w:cs="Arial"/>
                <w:i/>
                <w:iCs/>
                <w:color w:val="003643"/>
              </w:rPr>
            </w:pPr>
          </w:p>
        </w:tc>
        <w:tc>
          <w:tcPr>
            <w:tcW w:w="1224" w:type="dxa"/>
          </w:tcPr>
          <w:p w14:paraId="23392DD3" w14:textId="77777777" w:rsidR="007D49BB" w:rsidRPr="007D49BB" w:rsidDel="003421B4" w:rsidRDefault="007D49BB" w:rsidP="008E6066">
            <w:pPr>
              <w:pStyle w:val="Normal4"/>
              <w:rPr>
                <w:rFonts w:ascii="Arial" w:hAnsi="Arial" w:cs="Arial"/>
                <w:color w:val="003643"/>
              </w:rPr>
            </w:pPr>
            <w:r w:rsidRPr="007D49BB">
              <w:rPr>
                <w:rFonts w:ascii="Arial" w:hAnsi="Arial" w:cs="Arial"/>
                <w:color w:val="003643"/>
              </w:rPr>
              <w:t>1A</w:t>
            </w:r>
          </w:p>
        </w:tc>
      </w:tr>
      <w:tr w:rsidR="007D49BB" w:rsidRPr="00BC0AFF" w14:paraId="6B02AE0C" w14:textId="77777777" w:rsidTr="007D49BB">
        <w:tc>
          <w:tcPr>
            <w:tcW w:w="7792" w:type="dxa"/>
          </w:tcPr>
          <w:p w14:paraId="04152D62" w14:textId="77777777" w:rsidR="007D49BB" w:rsidRPr="007D49BB" w:rsidRDefault="007D49BB" w:rsidP="007D49BB">
            <w:pPr>
              <w:pStyle w:val="ListParagraph"/>
              <w:widowControl w:val="0"/>
              <w:numPr>
                <w:ilvl w:val="0"/>
                <w:numId w:val="13"/>
              </w:numPr>
              <w:autoSpaceDE w:val="0"/>
              <w:autoSpaceDN w:val="0"/>
              <w:adjustRightInd w:val="0"/>
              <w:spacing w:before="90"/>
              <w:contextualSpacing w:val="0"/>
              <w:rPr>
                <w:rFonts w:cs="Arial"/>
                <w:color w:val="003643"/>
              </w:rPr>
            </w:pPr>
            <w:r w:rsidRPr="007D49BB">
              <w:rPr>
                <w:rFonts w:cs="Arial"/>
                <w:color w:val="003643"/>
              </w:rPr>
              <w:t xml:space="preserve">For children with </w:t>
            </w:r>
            <w:r w:rsidRPr="007D49BB">
              <w:rPr>
                <w:rFonts w:cs="Arial"/>
                <w:b/>
                <w:bCs/>
                <w:color w:val="003643"/>
              </w:rPr>
              <w:t>autism spectrum disorder</w:t>
            </w:r>
            <w:r w:rsidRPr="007D49BB">
              <w:rPr>
                <w:rFonts w:cs="Arial"/>
                <w:color w:val="003643"/>
              </w:rPr>
              <w:t xml:space="preserve"> (ASD), it is recommended that interventions using imitation and/or modelling interventions can benefit play.</w:t>
            </w:r>
          </w:p>
          <w:p w14:paraId="3B7AB1BD" w14:textId="77777777" w:rsidR="007D49BB" w:rsidRPr="007D49BB" w:rsidRDefault="007D49BB" w:rsidP="008E6066">
            <w:pPr>
              <w:contextualSpacing/>
              <w:rPr>
                <w:rFonts w:cs="Arial"/>
                <w:color w:val="003643"/>
              </w:rPr>
            </w:pPr>
          </w:p>
          <w:p w14:paraId="6D016EC8" w14:textId="77777777" w:rsidR="007D49BB" w:rsidRPr="007D49BB" w:rsidRDefault="007D49BB" w:rsidP="008E6066">
            <w:pPr>
              <w:ind w:left="675"/>
              <w:contextualSpacing/>
              <w:rPr>
                <w:rFonts w:cs="Arial"/>
                <w:color w:val="003643"/>
              </w:rPr>
            </w:pPr>
            <w:r w:rsidRPr="007D49BB">
              <w:rPr>
                <w:rFonts w:cs="Arial"/>
                <w:color w:val="003643"/>
              </w:rPr>
              <w:t>(</w:t>
            </w:r>
            <w:proofErr w:type="spellStart"/>
            <w:r w:rsidRPr="007D49BB">
              <w:rPr>
                <w:rFonts w:cs="Arial"/>
                <w:color w:val="003643"/>
              </w:rPr>
              <w:t>Kuhaneck</w:t>
            </w:r>
            <w:proofErr w:type="spellEnd"/>
            <w:r w:rsidRPr="007D49BB">
              <w:rPr>
                <w:rFonts w:cs="Arial"/>
                <w:color w:val="003643"/>
              </w:rPr>
              <w:t xml:space="preserve"> et al 2019 [A])</w:t>
            </w:r>
          </w:p>
          <w:p w14:paraId="6B03E7AA" w14:textId="77777777" w:rsidR="007D49BB" w:rsidRPr="007D49BB" w:rsidRDefault="007D49BB" w:rsidP="008E6066">
            <w:pPr>
              <w:pStyle w:val="ListParagraph"/>
              <w:rPr>
                <w:rFonts w:cs="Arial"/>
                <w:color w:val="003643"/>
              </w:rPr>
            </w:pPr>
          </w:p>
        </w:tc>
        <w:tc>
          <w:tcPr>
            <w:tcW w:w="1224" w:type="dxa"/>
          </w:tcPr>
          <w:p w14:paraId="0FDB4C16" w14:textId="77777777" w:rsidR="007D49BB" w:rsidRPr="007D49BB" w:rsidRDefault="007D49BB" w:rsidP="008E6066">
            <w:pPr>
              <w:pStyle w:val="Normal4"/>
              <w:rPr>
                <w:rFonts w:ascii="Arial" w:hAnsi="Arial" w:cs="Arial"/>
                <w:color w:val="003643"/>
              </w:rPr>
            </w:pPr>
            <w:r w:rsidRPr="007D49BB">
              <w:rPr>
                <w:rFonts w:ascii="Arial" w:hAnsi="Arial" w:cs="Arial"/>
                <w:color w:val="003643"/>
              </w:rPr>
              <w:t>1A</w:t>
            </w:r>
          </w:p>
        </w:tc>
      </w:tr>
      <w:tr w:rsidR="007D49BB" w:rsidRPr="00BC0AFF" w14:paraId="6C8B76F8" w14:textId="77777777" w:rsidTr="007D49BB">
        <w:tc>
          <w:tcPr>
            <w:tcW w:w="7792" w:type="dxa"/>
            <w:shd w:val="clear" w:color="auto" w:fill="003643"/>
          </w:tcPr>
          <w:p w14:paraId="60DBFC31" w14:textId="77777777" w:rsidR="007D49BB" w:rsidRPr="007D49BB" w:rsidRDefault="007D49BB" w:rsidP="008E6066">
            <w:pPr>
              <w:spacing w:before="100" w:beforeAutospacing="1" w:after="100" w:afterAutospacing="1"/>
              <w:rPr>
                <w:rFonts w:cs="Arial"/>
                <w:color w:val="FFFFFF" w:themeColor="background1"/>
                <w:sz w:val="24"/>
                <w:szCs w:val="24"/>
              </w:rPr>
            </w:pPr>
            <w:r w:rsidRPr="007D49BB">
              <w:rPr>
                <w:rFonts w:cs="Arial"/>
                <w:b/>
                <w:bCs/>
                <w:color w:val="FFFFFF" w:themeColor="background1"/>
                <w:sz w:val="24"/>
                <w:szCs w:val="24"/>
              </w:rPr>
              <w:t>Interventions that use play to cope with life situations</w:t>
            </w:r>
          </w:p>
        </w:tc>
        <w:tc>
          <w:tcPr>
            <w:tcW w:w="1224" w:type="dxa"/>
            <w:shd w:val="clear" w:color="auto" w:fill="003643"/>
          </w:tcPr>
          <w:p w14:paraId="7266CB20" w14:textId="77777777" w:rsidR="007D49BB" w:rsidRPr="007D49BB" w:rsidRDefault="007D49BB" w:rsidP="008E6066">
            <w:pPr>
              <w:pStyle w:val="Normal4"/>
              <w:rPr>
                <w:rFonts w:ascii="Arial" w:hAnsi="Arial" w:cs="Arial"/>
                <w:color w:val="FFFFFF" w:themeColor="background1"/>
              </w:rPr>
            </w:pPr>
          </w:p>
        </w:tc>
      </w:tr>
      <w:tr w:rsidR="007D49BB" w:rsidRPr="00BC0AFF" w14:paraId="65564B33" w14:textId="77777777" w:rsidTr="007D49BB">
        <w:tc>
          <w:tcPr>
            <w:tcW w:w="7792" w:type="dxa"/>
          </w:tcPr>
          <w:p w14:paraId="3D5FFB1C" w14:textId="77777777" w:rsidR="007D49BB" w:rsidRPr="007D49BB" w:rsidRDefault="007D49BB" w:rsidP="007D49BB">
            <w:pPr>
              <w:pStyle w:val="ListParagraph"/>
              <w:widowControl w:val="0"/>
              <w:numPr>
                <w:ilvl w:val="0"/>
                <w:numId w:val="13"/>
              </w:numPr>
              <w:autoSpaceDE w:val="0"/>
              <w:autoSpaceDN w:val="0"/>
              <w:adjustRightInd w:val="0"/>
              <w:spacing w:before="90"/>
              <w:contextualSpacing w:val="0"/>
              <w:rPr>
                <w:rFonts w:cs="Arial"/>
                <w:color w:val="003643"/>
                <w:lang w:eastAsia="en-GB"/>
              </w:rPr>
            </w:pPr>
            <w:r w:rsidRPr="007D49BB">
              <w:rPr>
                <w:rFonts w:cs="Arial"/>
                <w:color w:val="003643"/>
                <w:lang w:eastAsia="en-GB"/>
              </w:rPr>
              <w:t xml:space="preserve">For </w:t>
            </w:r>
            <w:r w:rsidRPr="007D49BB">
              <w:rPr>
                <w:rFonts w:cs="Arial"/>
                <w:b/>
                <w:bCs/>
                <w:color w:val="003643"/>
                <w:lang w:eastAsia="en-GB"/>
              </w:rPr>
              <w:t>hospitalised children</w:t>
            </w:r>
            <w:r w:rsidRPr="007D49BB">
              <w:rPr>
                <w:rFonts w:cs="Arial"/>
                <w:color w:val="003643"/>
                <w:lang w:eastAsia="en-GB"/>
              </w:rPr>
              <w:t>,</w:t>
            </w:r>
            <w:r w:rsidRPr="007D49BB">
              <w:rPr>
                <w:rFonts w:cs="Arial"/>
                <w:b/>
                <w:bCs/>
                <w:i/>
                <w:iCs/>
                <w:color w:val="003643"/>
                <w:lang w:eastAsia="en-GB"/>
              </w:rPr>
              <w:t xml:space="preserve"> </w:t>
            </w:r>
            <w:r w:rsidRPr="007D49BB">
              <w:rPr>
                <w:rFonts w:cs="Arial"/>
                <w:color w:val="003643"/>
                <w:lang w:eastAsia="en-GB"/>
              </w:rPr>
              <w:t xml:space="preserve">it is recommended that occupational therapists promote play opportunities to reduce the stress of being in hospital. </w:t>
            </w:r>
          </w:p>
          <w:p w14:paraId="2631341F" w14:textId="77777777" w:rsidR="007D49BB" w:rsidRPr="007D49BB" w:rsidRDefault="007D49BB" w:rsidP="008E6066">
            <w:pPr>
              <w:spacing w:before="90"/>
              <w:ind w:left="904" w:hanging="227"/>
              <w:rPr>
                <w:rFonts w:eastAsia="Times New Roman" w:cs="Arial"/>
                <w:color w:val="003643"/>
                <w:lang w:eastAsia="en-GB"/>
              </w:rPr>
            </w:pPr>
          </w:p>
          <w:p w14:paraId="48A93FA9" w14:textId="77777777" w:rsidR="007D49BB" w:rsidRPr="007D49BB" w:rsidRDefault="007D49BB" w:rsidP="008E6066">
            <w:pPr>
              <w:pStyle w:val="Normal4"/>
              <w:ind w:left="720"/>
              <w:rPr>
                <w:rFonts w:ascii="Arial" w:hAnsi="Arial" w:cs="Arial"/>
                <w:color w:val="003643"/>
              </w:rPr>
            </w:pPr>
            <w:r w:rsidRPr="007D49BB">
              <w:rPr>
                <w:rFonts w:ascii="Arial" w:hAnsi="Arial" w:cs="Arial"/>
                <w:color w:val="003643"/>
              </w:rPr>
              <w:t>(</w:t>
            </w:r>
            <w:proofErr w:type="spellStart"/>
            <w:r w:rsidRPr="007D49BB">
              <w:rPr>
                <w:rFonts w:ascii="Arial" w:hAnsi="Arial" w:cs="Arial"/>
                <w:color w:val="003643"/>
              </w:rPr>
              <w:t>Potasz</w:t>
            </w:r>
            <w:proofErr w:type="spellEnd"/>
            <w:r w:rsidRPr="007D49BB">
              <w:rPr>
                <w:rFonts w:ascii="Arial" w:hAnsi="Arial" w:cs="Arial"/>
                <w:color w:val="003643"/>
              </w:rPr>
              <w:t xml:space="preserve"> et al 2013 [A]; Mohammadi et al 2021 [A]) </w:t>
            </w:r>
          </w:p>
          <w:p w14:paraId="1FFC0B4A" w14:textId="77777777" w:rsidR="007D49BB" w:rsidRPr="007D49BB" w:rsidRDefault="007D49BB" w:rsidP="008E6066">
            <w:pPr>
              <w:pStyle w:val="Normal4"/>
              <w:ind w:left="720"/>
              <w:rPr>
                <w:rFonts w:ascii="Arial" w:hAnsi="Arial" w:cs="Arial"/>
                <w:i/>
                <w:iCs/>
                <w:color w:val="003643"/>
              </w:rPr>
            </w:pPr>
          </w:p>
        </w:tc>
        <w:tc>
          <w:tcPr>
            <w:tcW w:w="1224" w:type="dxa"/>
          </w:tcPr>
          <w:p w14:paraId="2349E802" w14:textId="77777777" w:rsidR="007D49BB" w:rsidRPr="007D49BB" w:rsidRDefault="007D49BB" w:rsidP="008E6066">
            <w:pPr>
              <w:pStyle w:val="Normal4"/>
              <w:rPr>
                <w:rFonts w:ascii="Arial" w:hAnsi="Arial" w:cs="Arial"/>
                <w:color w:val="003643"/>
              </w:rPr>
            </w:pPr>
            <w:r w:rsidRPr="007D49BB">
              <w:rPr>
                <w:rFonts w:ascii="Arial" w:hAnsi="Arial" w:cs="Arial"/>
                <w:color w:val="003643"/>
              </w:rPr>
              <w:t>1A</w:t>
            </w:r>
          </w:p>
        </w:tc>
      </w:tr>
      <w:tr w:rsidR="007D49BB" w:rsidRPr="00BC0AFF" w14:paraId="300DCCBA" w14:textId="77777777" w:rsidTr="007D49BB">
        <w:tc>
          <w:tcPr>
            <w:tcW w:w="7792" w:type="dxa"/>
            <w:shd w:val="clear" w:color="auto" w:fill="003643"/>
          </w:tcPr>
          <w:p w14:paraId="3A8FBF64" w14:textId="77777777" w:rsidR="007D49BB" w:rsidRPr="007D49BB" w:rsidRDefault="007D49BB" w:rsidP="008E6066">
            <w:pPr>
              <w:rPr>
                <w:rFonts w:cs="Arial"/>
                <w:color w:val="FFFFFF" w:themeColor="background1"/>
                <w:sz w:val="24"/>
                <w:szCs w:val="24"/>
              </w:rPr>
            </w:pPr>
            <w:r w:rsidRPr="007D49BB">
              <w:rPr>
                <w:rFonts w:cs="Arial"/>
                <w:b/>
                <w:bCs/>
                <w:color w:val="FFFFFF" w:themeColor="background1"/>
                <w:sz w:val="24"/>
                <w:szCs w:val="24"/>
              </w:rPr>
              <w:lastRenderedPageBreak/>
              <w:t>Interventions which use play to promote performance skills</w:t>
            </w:r>
          </w:p>
        </w:tc>
        <w:tc>
          <w:tcPr>
            <w:tcW w:w="1224" w:type="dxa"/>
            <w:shd w:val="clear" w:color="auto" w:fill="003643"/>
          </w:tcPr>
          <w:p w14:paraId="37AE2D54" w14:textId="77777777" w:rsidR="007D49BB" w:rsidRPr="007D49BB" w:rsidRDefault="007D49BB" w:rsidP="008E6066">
            <w:pPr>
              <w:pStyle w:val="Normal4"/>
              <w:rPr>
                <w:rFonts w:ascii="Arial" w:hAnsi="Arial" w:cs="Arial"/>
                <w:color w:val="FFFFFF" w:themeColor="background1"/>
              </w:rPr>
            </w:pPr>
          </w:p>
        </w:tc>
      </w:tr>
      <w:tr w:rsidR="007D49BB" w:rsidRPr="00BC0AFF" w14:paraId="53B26928" w14:textId="77777777" w:rsidTr="007D49BB">
        <w:tc>
          <w:tcPr>
            <w:tcW w:w="7792" w:type="dxa"/>
          </w:tcPr>
          <w:p w14:paraId="1C73D3EA" w14:textId="77777777" w:rsidR="007D49BB" w:rsidRPr="007D49BB" w:rsidRDefault="007D49BB" w:rsidP="007D49BB">
            <w:pPr>
              <w:pStyle w:val="ListParagraph"/>
              <w:widowControl w:val="0"/>
              <w:numPr>
                <w:ilvl w:val="0"/>
                <w:numId w:val="13"/>
              </w:numPr>
              <w:autoSpaceDE w:val="0"/>
              <w:autoSpaceDN w:val="0"/>
              <w:adjustRightInd w:val="0"/>
              <w:spacing w:before="90"/>
              <w:contextualSpacing w:val="0"/>
              <w:rPr>
                <w:rFonts w:cs="Arial"/>
                <w:color w:val="003643"/>
                <w:lang w:eastAsia="en-GB"/>
              </w:rPr>
            </w:pPr>
            <w:r w:rsidRPr="007D49BB">
              <w:rPr>
                <w:rFonts w:cs="Arial"/>
                <w:color w:val="003643"/>
                <w:lang w:eastAsia="en-GB"/>
              </w:rPr>
              <w:t xml:space="preserve">For children with </w:t>
            </w:r>
            <w:r w:rsidRPr="007D49BB">
              <w:rPr>
                <w:rFonts w:cs="Arial"/>
                <w:b/>
                <w:bCs/>
                <w:color w:val="003643"/>
                <w:lang w:eastAsia="en-GB"/>
              </w:rPr>
              <w:t>intellectual impairments, developmental delays, and learning disabilities</w:t>
            </w:r>
            <w:r w:rsidRPr="007D49BB">
              <w:rPr>
                <w:rFonts w:cs="Arial"/>
                <w:color w:val="003643"/>
                <w:lang w:eastAsia="en-GB"/>
              </w:rPr>
              <w:t xml:space="preserve">, it is recommended that occupational therapists promote positive mental health outcomes through activity-based interventions including play activities. </w:t>
            </w:r>
          </w:p>
          <w:p w14:paraId="22957168" w14:textId="77777777" w:rsidR="007D49BB" w:rsidRPr="007D49BB" w:rsidRDefault="007D49BB" w:rsidP="008E6066">
            <w:pPr>
              <w:ind w:left="720"/>
              <w:rPr>
                <w:rFonts w:cs="Arial"/>
                <w:color w:val="003643"/>
                <w:lang w:eastAsia="en-GB"/>
              </w:rPr>
            </w:pPr>
          </w:p>
          <w:p w14:paraId="5A2C5B80" w14:textId="77777777" w:rsidR="007D49BB" w:rsidRPr="007D49BB" w:rsidRDefault="007D49BB" w:rsidP="008E6066">
            <w:pPr>
              <w:pStyle w:val="Normal4"/>
              <w:ind w:left="680"/>
              <w:rPr>
                <w:rFonts w:ascii="Arial" w:hAnsi="Arial" w:cs="Arial"/>
                <w:color w:val="003643"/>
              </w:rPr>
            </w:pPr>
            <w:r w:rsidRPr="007D49BB">
              <w:rPr>
                <w:rFonts w:ascii="Arial" w:hAnsi="Arial" w:cs="Arial"/>
                <w:color w:val="003643"/>
              </w:rPr>
              <w:t>(</w:t>
            </w:r>
            <w:proofErr w:type="spellStart"/>
            <w:r w:rsidRPr="007D49BB">
              <w:rPr>
                <w:rFonts w:ascii="Arial" w:hAnsi="Arial" w:cs="Arial"/>
                <w:color w:val="003643"/>
              </w:rPr>
              <w:t>Arbesman</w:t>
            </w:r>
            <w:proofErr w:type="spellEnd"/>
            <w:r w:rsidRPr="007D49BB">
              <w:rPr>
                <w:rFonts w:ascii="Arial" w:hAnsi="Arial" w:cs="Arial"/>
                <w:color w:val="003643"/>
              </w:rPr>
              <w:t xml:space="preserve"> et al 2013 [A])</w:t>
            </w:r>
          </w:p>
          <w:p w14:paraId="72BF2A98" w14:textId="77777777" w:rsidR="007D49BB" w:rsidRPr="007D49BB" w:rsidRDefault="007D49BB" w:rsidP="008E6066">
            <w:pPr>
              <w:pStyle w:val="Normal4"/>
              <w:ind w:left="680"/>
              <w:rPr>
                <w:rFonts w:ascii="Arial" w:hAnsi="Arial" w:cs="Arial"/>
                <w:color w:val="003643"/>
              </w:rPr>
            </w:pPr>
          </w:p>
        </w:tc>
        <w:tc>
          <w:tcPr>
            <w:tcW w:w="1224" w:type="dxa"/>
          </w:tcPr>
          <w:p w14:paraId="2AD1F50B" w14:textId="77777777" w:rsidR="007D49BB" w:rsidRPr="007D49BB" w:rsidRDefault="007D49BB" w:rsidP="008E6066">
            <w:pPr>
              <w:pStyle w:val="Normal4"/>
              <w:rPr>
                <w:rFonts w:ascii="Arial" w:hAnsi="Arial" w:cs="Arial"/>
                <w:color w:val="003643"/>
              </w:rPr>
            </w:pPr>
            <w:r w:rsidRPr="007D49BB">
              <w:rPr>
                <w:rFonts w:ascii="Arial" w:hAnsi="Arial" w:cs="Arial"/>
                <w:color w:val="003643"/>
              </w:rPr>
              <w:t>1A</w:t>
            </w:r>
          </w:p>
        </w:tc>
      </w:tr>
      <w:tr w:rsidR="007D49BB" w:rsidRPr="00BC0AFF" w14:paraId="6DCC9C89" w14:textId="77777777" w:rsidTr="007D49BB">
        <w:trPr>
          <w:trHeight w:val="1788"/>
        </w:trPr>
        <w:tc>
          <w:tcPr>
            <w:tcW w:w="7792" w:type="dxa"/>
          </w:tcPr>
          <w:p w14:paraId="7E790C47" w14:textId="035185CC" w:rsidR="007D49BB" w:rsidRPr="007D49BB" w:rsidRDefault="007D49BB" w:rsidP="007D49BB">
            <w:pPr>
              <w:pStyle w:val="ListParagraph"/>
              <w:widowControl w:val="0"/>
              <w:numPr>
                <w:ilvl w:val="0"/>
                <w:numId w:val="13"/>
              </w:numPr>
              <w:autoSpaceDE w:val="0"/>
              <w:autoSpaceDN w:val="0"/>
              <w:adjustRightInd w:val="0"/>
              <w:spacing w:before="90" w:after="255"/>
              <w:rPr>
                <w:rFonts w:cs="Arial"/>
                <w:color w:val="003643"/>
              </w:rPr>
            </w:pPr>
            <w:r w:rsidRPr="007D49BB">
              <w:rPr>
                <w:rFonts w:eastAsiaTheme="minorHAnsi" w:cs="Arial"/>
                <w:color w:val="003643"/>
              </w:rPr>
              <w:t xml:space="preserve">For children with a </w:t>
            </w:r>
            <w:r w:rsidRPr="007D49BB">
              <w:rPr>
                <w:rFonts w:eastAsiaTheme="minorHAnsi" w:cs="Arial"/>
                <w:b/>
                <w:bCs/>
                <w:color w:val="003643"/>
              </w:rPr>
              <w:t>specific learning difficulty</w:t>
            </w:r>
            <w:r w:rsidRPr="007D49BB">
              <w:rPr>
                <w:rFonts w:eastAsiaTheme="minorHAnsi" w:cs="Arial"/>
                <w:color w:val="003643"/>
              </w:rPr>
              <w:t>,</w:t>
            </w:r>
            <w:r w:rsidRPr="007D49BB">
              <w:rPr>
                <w:rFonts w:eastAsiaTheme="minorHAnsi" w:cs="Arial"/>
                <w:b/>
                <w:bCs/>
                <w:color w:val="003643"/>
              </w:rPr>
              <w:t xml:space="preserve"> </w:t>
            </w:r>
            <w:r w:rsidRPr="007D49BB">
              <w:rPr>
                <w:rFonts w:eastAsiaTheme="minorHAnsi" w:cs="Arial"/>
                <w:color w:val="003643"/>
              </w:rPr>
              <w:t xml:space="preserve">it is recommended that occupational therapists consider group therapy-led peer play activities including practice play, symbolic </w:t>
            </w:r>
            <w:proofErr w:type="gramStart"/>
            <w:r w:rsidRPr="007D49BB">
              <w:rPr>
                <w:rFonts w:eastAsiaTheme="minorHAnsi" w:cs="Arial"/>
                <w:color w:val="003643"/>
              </w:rPr>
              <w:t>play</w:t>
            </w:r>
            <w:proofErr w:type="gramEnd"/>
            <w:r w:rsidRPr="007D49BB">
              <w:rPr>
                <w:rFonts w:eastAsiaTheme="minorHAnsi" w:cs="Arial"/>
                <w:color w:val="003643"/>
              </w:rPr>
              <w:t xml:space="preserve"> and games with rules to improve executive function skills and behaviour regulation. </w:t>
            </w:r>
          </w:p>
          <w:p w14:paraId="04D8FD74" w14:textId="77777777" w:rsidR="007D49BB" w:rsidRPr="007D49BB" w:rsidRDefault="007D49BB" w:rsidP="008E6066">
            <w:pPr>
              <w:pStyle w:val="ListParagraph"/>
              <w:rPr>
                <w:rFonts w:cs="Arial"/>
                <w:color w:val="003643"/>
              </w:rPr>
            </w:pPr>
          </w:p>
          <w:p w14:paraId="137FEFC9" w14:textId="77777777" w:rsidR="007D49BB" w:rsidRPr="007D49BB" w:rsidRDefault="007D49BB" w:rsidP="008E6066">
            <w:pPr>
              <w:pStyle w:val="ListParagraph"/>
              <w:rPr>
                <w:rFonts w:cs="Arial"/>
                <w:color w:val="003643"/>
              </w:rPr>
            </w:pPr>
            <w:r w:rsidRPr="007D49BB">
              <w:rPr>
                <w:rFonts w:eastAsiaTheme="minorHAnsi" w:cs="Arial"/>
                <w:color w:val="003643"/>
              </w:rPr>
              <w:t>(</w:t>
            </w:r>
            <w:proofErr w:type="spellStart"/>
            <w:r w:rsidRPr="007D49BB">
              <w:rPr>
                <w:rFonts w:eastAsiaTheme="minorHAnsi" w:cs="Arial"/>
                <w:color w:val="003643"/>
              </w:rPr>
              <w:t>Karamali</w:t>
            </w:r>
            <w:proofErr w:type="spellEnd"/>
            <w:r w:rsidRPr="007D49BB">
              <w:rPr>
                <w:rFonts w:eastAsiaTheme="minorHAnsi" w:cs="Arial"/>
                <w:color w:val="003643"/>
              </w:rPr>
              <w:t xml:space="preserve"> </w:t>
            </w:r>
            <w:proofErr w:type="spellStart"/>
            <w:r w:rsidRPr="007D49BB">
              <w:rPr>
                <w:rFonts w:eastAsiaTheme="minorHAnsi" w:cs="Arial"/>
                <w:color w:val="003643"/>
              </w:rPr>
              <w:t>Esmaili</w:t>
            </w:r>
            <w:proofErr w:type="spellEnd"/>
            <w:r w:rsidRPr="007D49BB">
              <w:rPr>
                <w:rFonts w:eastAsiaTheme="minorHAnsi" w:cs="Arial"/>
                <w:color w:val="003643"/>
              </w:rPr>
              <w:t xml:space="preserve"> et al 2019 [A])</w:t>
            </w:r>
          </w:p>
          <w:p w14:paraId="2E1E9EAE" w14:textId="77777777" w:rsidR="007D49BB" w:rsidRPr="007D49BB" w:rsidRDefault="007D49BB" w:rsidP="008E6066">
            <w:pPr>
              <w:rPr>
                <w:rFonts w:cs="Arial"/>
                <w:i/>
                <w:iCs/>
                <w:color w:val="003643"/>
              </w:rPr>
            </w:pPr>
          </w:p>
        </w:tc>
        <w:tc>
          <w:tcPr>
            <w:tcW w:w="1224" w:type="dxa"/>
          </w:tcPr>
          <w:p w14:paraId="67BA3693" w14:textId="77777777" w:rsidR="007D49BB" w:rsidRPr="007D49BB" w:rsidRDefault="007D49BB" w:rsidP="008E6066">
            <w:pPr>
              <w:rPr>
                <w:rFonts w:cs="Arial"/>
                <w:color w:val="003643"/>
              </w:rPr>
            </w:pPr>
            <w:r w:rsidRPr="007D49BB">
              <w:rPr>
                <w:rFonts w:cs="Arial"/>
                <w:color w:val="003643"/>
              </w:rPr>
              <w:t>1A</w:t>
            </w:r>
          </w:p>
        </w:tc>
      </w:tr>
      <w:tr w:rsidR="007D49BB" w:rsidRPr="00BC0AFF" w14:paraId="12B62937" w14:textId="77777777" w:rsidTr="007D49BB">
        <w:trPr>
          <w:trHeight w:val="416"/>
        </w:trPr>
        <w:tc>
          <w:tcPr>
            <w:tcW w:w="7792" w:type="dxa"/>
          </w:tcPr>
          <w:p w14:paraId="5D9E2CA1" w14:textId="77777777" w:rsidR="007D49BB" w:rsidRPr="007D49BB" w:rsidRDefault="007D49BB" w:rsidP="007D49BB">
            <w:pPr>
              <w:pStyle w:val="ListParagraph"/>
              <w:widowControl w:val="0"/>
              <w:numPr>
                <w:ilvl w:val="0"/>
                <w:numId w:val="13"/>
              </w:numPr>
              <w:autoSpaceDE w:val="0"/>
              <w:autoSpaceDN w:val="0"/>
              <w:adjustRightInd w:val="0"/>
              <w:spacing w:before="90"/>
              <w:contextualSpacing w:val="0"/>
              <w:rPr>
                <w:rFonts w:cs="Arial"/>
                <w:color w:val="003643"/>
              </w:rPr>
            </w:pPr>
            <w:r w:rsidRPr="007D49BB">
              <w:rPr>
                <w:rFonts w:cs="Arial"/>
                <w:color w:val="003643"/>
              </w:rPr>
              <w:t xml:space="preserve">For children and young people with, and at risk of, </w:t>
            </w:r>
            <w:r w:rsidRPr="007D49BB">
              <w:rPr>
                <w:rFonts w:cs="Arial"/>
                <w:b/>
                <w:bCs/>
                <w:color w:val="003643"/>
              </w:rPr>
              <w:t>poor</w:t>
            </w:r>
            <w:r w:rsidRPr="007D49BB">
              <w:rPr>
                <w:rFonts w:cs="Arial"/>
                <w:color w:val="003643"/>
              </w:rPr>
              <w:t xml:space="preserve"> </w:t>
            </w:r>
            <w:r w:rsidRPr="007D49BB">
              <w:rPr>
                <w:rFonts w:cs="Arial"/>
                <w:b/>
                <w:bCs/>
                <w:color w:val="003643"/>
              </w:rPr>
              <w:t>mental health,</w:t>
            </w:r>
            <w:r w:rsidRPr="007D49BB">
              <w:rPr>
                <w:rFonts w:cs="Arial"/>
                <w:color w:val="003643"/>
              </w:rPr>
              <w:t xml:space="preserve"> it is recommended that occupational therapists use play-based interventions, particularly to increase social participation.</w:t>
            </w:r>
          </w:p>
          <w:p w14:paraId="1822F5E1" w14:textId="77777777" w:rsidR="007D49BB" w:rsidRPr="007D49BB" w:rsidRDefault="007D49BB" w:rsidP="008E6066">
            <w:pPr>
              <w:pStyle w:val="Normal4"/>
              <w:rPr>
                <w:rFonts w:ascii="Arial" w:hAnsi="Arial" w:cs="Arial"/>
                <w:color w:val="003643"/>
              </w:rPr>
            </w:pPr>
          </w:p>
          <w:p w14:paraId="103F86F7" w14:textId="77777777" w:rsidR="007D49BB" w:rsidRPr="007D49BB" w:rsidRDefault="007D49BB" w:rsidP="008E6066">
            <w:pPr>
              <w:pStyle w:val="Normal4"/>
              <w:ind w:left="720"/>
              <w:rPr>
                <w:rFonts w:ascii="Arial" w:hAnsi="Arial" w:cs="Arial"/>
                <w:color w:val="003643"/>
              </w:rPr>
            </w:pPr>
            <w:r w:rsidRPr="007D49BB">
              <w:rPr>
                <w:rFonts w:ascii="Arial" w:hAnsi="Arial" w:cs="Arial"/>
                <w:color w:val="003643"/>
              </w:rPr>
              <w:t>(Cahill et al 2020 [A])</w:t>
            </w:r>
          </w:p>
          <w:p w14:paraId="70297D7B" w14:textId="77777777" w:rsidR="007D49BB" w:rsidRPr="007D49BB" w:rsidRDefault="007D49BB" w:rsidP="008E6066">
            <w:pPr>
              <w:rPr>
                <w:rFonts w:eastAsiaTheme="minorEastAsia" w:cs="Arial"/>
                <w:color w:val="003643"/>
              </w:rPr>
            </w:pPr>
          </w:p>
        </w:tc>
        <w:tc>
          <w:tcPr>
            <w:tcW w:w="1224" w:type="dxa"/>
          </w:tcPr>
          <w:p w14:paraId="02BFCA07" w14:textId="77777777" w:rsidR="007D49BB" w:rsidRPr="007D49BB" w:rsidRDefault="007D49BB" w:rsidP="008E6066">
            <w:pPr>
              <w:rPr>
                <w:rFonts w:cs="Arial"/>
                <w:color w:val="003643"/>
              </w:rPr>
            </w:pPr>
            <w:r w:rsidRPr="007D49BB">
              <w:rPr>
                <w:rFonts w:cs="Arial"/>
                <w:color w:val="003643"/>
              </w:rPr>
              <w:t>1A</w:t>
            </w:r>
          </w:p>
        </w:tc>
      </w:tr>
      <w:tr w:rsidR="007D49BB" w:rsidRPr="00BC0AFF" w14:paraId="2497D7A4" w14:textId="77777777" w:rsidTr="007D49BB">
        <w:trPr>
          <w:trHeight w:val="416"/>
        </w:trPr>
        <w:tc>
          <w:tcPr>
            <w:tcW w:w="7792" w:type="dxa"/>
          </w:tcPr>
          <w:p w14:paraId="5315C04E" w14:textId="5DD66A8B" w:rsidR="007D49BB" w:rsidRPr="007D49BB" w:rsidRDefault="007D49BB" w:rsidP="008E6066">
            <w:pPr>
              <w:pStyle w:val="ListParagraph"/>
              <w:rPr>
                <w:rFonts w:cs="Arial"/>
                <w:color w:val="003643"/>
              </w:rPr>
            </w:pPr>
            <w:r w:rsidRPr="007D49BB">
              <w:rPr>
                <w:rFonts w:cs="Arial"/>
                <w:color w:val="003643"/>
                <w:shd w:val="clear" w:color="auto" w:fill="FFFFFF"/>
                <w:lang w:eastAsia="en-GB"/>
              </w:rPr>
              <w:t>It is recommended that occupational therapists consider the use of gaming technology, which is recognised as a meaningful occupation for children and young people, across a range of settings to develop performance skills such as motor skills, perception of motor ability and sensorimotor functioning.</w:t>
            </w:r>
            <w:r w:rsidRPr="007D49BB">
              <w:rPr>
                <w:rFonts w:cs="Arial"/>
                <w:color w:val="003643"/>
                <w:shd w:val="clear" w:color="auto" w:fill="FFFFFF"/>
                <w:lang w:eastAsia="en-GB"/>
              </w:rPr>
              <w:br/>
            </w:r>
            <w:r w:rsidRPr="007D49BB">
              <w:rPr>
                <w:rFonts w:cs="Arial"/>
                <w:color w:val="003643"/>
                <w:lang w:eastAsia="en-GB"/>
              </w:rPr>
              <w:br/>
            </w:r>
            <w:r w:rsidR="00A20F66" w:rsidRPr="00A20F66">
              <w:rPr>
                <w:rFonts w:cs="Arial"/>
                <w:color w:val="003643"/>
                <w:lang w:eastAsia="en-GB"/>
              </w:rPr>
              <w:t>(</w:t>
            </w:r>
            <w:proofErr w:type="spellStart"/>
            <w:r w:rsidR="00A20F66" w:rsidRPr="00A20F66">
              <w:rPr>
                <w:rFonts w:cs="Arial"/>
                <w:color w:val="003643"/>
                <w:lang w:eastAsia="en-GB"/>
              </w:rPr>
              <w:t>Wuang</w:t>
            </w:r>
            <w:proofErr w:type="spellEnd"/>
            <w:r w:rsidR="00A20F66" w:rsidRPr="00A20F66">
              <w:rPr>
                <w:rFonts w:cs="Arial"/>
                <w:color w:val="003643"/>
                <w:lang w:eastAsia="en-GB"/>
              </w:rPr>
              <w:t xml:space="preserve"> et al 2011 [A];</w:t>
            </w:r>
            <w:r w:rsidR="00A20F66" w:rsidRPr="00A20F66">
              <w:rPr>
                <w:rFonts w:eastAsia="Yu Mincho" w:cs="Arial"/>
                <w:color w:val="003643"/>
                <w:lang w:eastAsia="en-GB"/>
              </w:rPr>
              <w:t xml:space="preserve"> </w:t>
            </w:r>
            <w:r w:rsidR="00A20F66" w:rsidRPr="00A20F66">
              <w:rPr>
                <w:rFonts w:cs="Arial"/>
                <w:color w:val="003643"/>
                <w:lang w:eastAsia="en-GB"/>
              </w:rPr>
              <w:t xml:space="preserve">Salem et al 2012 [A]; Hammond et al 2014 [A]; Bonney et al 2017 [A]; </w:t>
            </w:r>
            <w:proofErr w:type="spellStart"/>
            <w:r w:rsidR="00A20F66" w:rsidRPr="00A20F66">
              <w:rPr>
                <w:rFonts w:eastAsia="Yu Mincho" w:cs="Arial"/>
                <w:color w:val="003643"/>
                <w:lang w:eastAsia="en-GB"/>
              </w:rPr>
              <w:t>Axford</w:t>
            </w:r>
            <w:proofErr w:type="spellEnd"/>
            <w:r w:rsidR="00A20F66" w:rsidRPr="00A20F66">
              <w:rPr>
                <w:rFonts w:eastAsia="Yu Mincho" w:cs="Arial"/>
                <w:color w:val="003643"/>
                <w:lang w:eastAsia="en-GB"/>
              </w:rPr>
              <w:t xml:space="preserve"> et al 2018 [C])</w:t>
            </w:r>
          </w:p>
        </w:tc>
        <w:tc>
          <w:tcPr>
            <w:tcW w:w="1224" w:type="dxa"/>
          </w:tcPr>
          <w:p w14:paraId="047F5977" w14:textId="77777777" w:rsidR="007D49BB" w:rsidRPr="007D49BB" w:rsidRDefault="007D49BB" w:rsidP="008E6066">
            <w:pPr>
              <w:rPr>
                <w:rFonts w:cs="Arial"/>
                <w:color w:val="003643"/>
              </w:rPr>
            </w:pPr>
            <w:r w:rsidRPr="007D49BB">
              <w:rPr>
                <w:rFonts w:cs="Arial"/>
                <w:color w:val="003643"/>
              </w:rPr>
              <w:t>1A</w:t>
            </w:r>
          </w:p>
        </w:tc>
      </w:tr>
    </w:tbl>
    <w:p w14:paraId="5CE88281" w14:textId="5EE368B3" w:rsidR="007D49BB" w:rsidRDefault="007D49BB" w:rsidP="005C6AFE">
      <w:pPr>
        <w:autoSpaceDE w:val="0"/>
        <w:autoSpaceDN w:val="0"/>
        <w:adjustRightInd w:val="0"/>
        <w:rPr>
          <w:rFonts w:cs="Arial"/>
          <w:color w:val="003643"/>
        </w:rPr>
      </w:pPr>
    </w:p>
    <w:p w14:paraId="5C24BEF0" w14:textId="77777777" w:rsidR="00073FCE" w:rsidRPr="00073FCE" w:rsidRDefault="00073FCE" w:rsidP="00073FCE">
      <w:pPr>
        <w:rPr>
          <w:rFonts w:cs="Arial"/>
          <w:b/>
          <w:bCs/>
          <w:color w:val="003643"/>
          <w:w w:val="105"/>
          <w:sz w:val="32"/>
          <w:szCs w:val="32"/>
        </w:rPr>
      </w:pPr>
      <w:r w:rsidRPr="00073FCE">
        <w:rPr>
          <w:rFonts w:cs="Arial"/>
          <w:b/>
          <w:bCs/>
          <w:color w:val="003643"/>
          <w:w w:val="105"/>
          <w:sz w:val="32"/>
          <w:szCs w:val="32"/>
        </w:rPr>
        <w:t>Best practice suggestion</w:t>
      </w:r>
    </w:p>
    <w:p w14:paraId="08BDE6D7" w14:textId="15634C53" w:rsidR="00073FCE" w:rsidRPr="00073FCE" w:rsidRDefault="00073FCE" w:rsidP="00073FCE">
      <w:pPr>
        <w:pStyle w:val="BodyText"/>
        <w:kinsoku w:val="0"/>
        <w:overflowPunct w:val="0"/>
        <w:ind w:left="0" w:right="454" w:firstLine="0"/>
        <w:rPr>
          <w:rFonts w:ascii="Arial" w:eastAsia="Arial" w:hAnsi="Arial" w:cs="Arial"/>
          <w:color w:val="003643"/>
        </w:rPr>
      </w:pPr>
      <w:r w:rsidRPr="00073FCE">
        <w:rPr>
          <w:rFonts w:ascii="Arial" w:hAnsi="Arial" w:cs="Arial"/>
          <w:color w:val="003643"/>
        </w:rPr>
        <w:t xml:space="preserve">Where the evidence is still emerging and so the risks and benefits are more closely balanced, or there is uncertainty in the values and preferences of people who are likely to access services, a best practice suggestion rather than a recommendation for practice can be developed. </w:t>
      </w:r>
      <w:r w:rsidRPr="00073FCE">
        <w:rPr>
          <w:rFonts w:ascii="Arial" w:eastAsia="Arial" w:hAnsi="Arial" w:cs="Arial"/>
          <w:color w:val="003643"/>
        </w:rPr>
        <w:t xml:space="preserve">Suggestions </w:t>
      </w:r>
      <w:r w:rsidR="00332984">
        <w:rPr>
          <w:rFonts w:ascii="Arial" w:eastAsia="Arial" w:hAnsi="Arial" w:cs="Arial"/>
          <w:color w:val="003643"/>
        </w:rPr>
        <w:t>have a strength of</w:t>
      </w:r>
      <w:r w:rsidRPr="00073FCE">
        <w:rPr>
          <w:rFonts w:ascii="Arial" w:eastAsia="Arial" w:hAnsi="Arial" w:cs="Arial"/>
          <w:color w:val="003643"/>
        </w:rPr>
        <w:t xml:space="preserve"> ‘2’ (conditional).</w:t>
      </w:r>
    </w:p>
    <w:p w14:paraId="28AAD96A" w14:textId="77777777" w:rsidR="00073FCE" w:rsidRPr="00073FCE" w:rsidRDefault="00073FCE" w:rsidP="00073FCE">
      <w:pPr>
        <w:pStyle w:val="BodyText"/>
        <w:kinsoku w:val="0"/>
        <w:overflowPunct w:val="0"/>
        <w:ind w:left="0" w:right="454" w:firstLine="0"/>
        <w:rPr>
          <w:rFonts w:ascii="Arial" w:hAnsi="Arial" w:cs="Arial"/>
          <w:color w:val="003643"/>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275"/>
      </w:tblGrid>
      <w:tr w:rsidR="00073FCE" w:rsidRPr="00073FCE" w14:paraId="188B0186" w14:textId="77777777" w:rsidTr="007C1C9B">
        <w:tc>
          <w:tcPr>
            <w:tcW w:w="9072" w:type="dxa"/>
            <w:gridSpan w:val="2"/>
            <w:shd w:val="clear" w:color="auto" w:fill="003643"/>
          </w:tcPr>
          <w:p w14:paraId="4FE4D34D" w14:textId="77777777" w:rsidR="00073FCE" w:rsidRPr="007C1C9B" w:rsidRDefault="00073FCE" w:rsidP="008E6066">
            <w:pPr>
              <w:pStyle w:val="ListParagraph"/>
              <w:ind w:left="227"/>
              <w:rPr>
                <w:rFonts w:cs="Arial"/>
                <w:color w:val="FFFFFF" w:themeColor="background1"/>
              </w:rPr>
            </w:pPr>
            <w:r w:rsidRPr="007C1C9B">
              <w:rPr>
                <w:rFonts w:cs="Arial"/>
                <w:b/>
                <w:bCs/>
                <w:color w:val="FFFFFF" w:themeColor="background1"/>
                <w:sz w:val="28"/>
                <w:szCs w:val="28"/>
              </w:rPr>
              <w:t>Best practice suggestion</w:t>
            </w:r>
          </w:p>
        </w:tc>
      </w:tr>
      <w:tr w:rsidR="00073FCE" w:rsidRPr="00073FCE" w14:paraId="01D01886" w14:textId="77777777" w:rsidTr="007C1C9B">
        <w:trPr>
          <w:trHeight w:val="439"/>
        </w:trPr>
        <w:tc>
          <w:tcPr>
            <w:tcW w:w="7797" w:type="dxa"/>
            <w:shd w:val="clear" w:color="auto" w:fill="003643"/>
          </w:tcPr>
          <w:p w14:paraId="27C62F46" w14:textId="77777777" w:rsidR="00073FCE" w:rsidRPr="007C1C9B" w:rsidRDefault="00073FCE" w:rsidP="008E6066">
            <w:pPr>
              <w:pStyle w:val="ListParagraph"/>
              <w:ind w:left="227"/>
              <w:rPr>
                <w:rFonts w:cs="Arial"/>
                <w:color w:val="FFFFFF" w:themeColor="background1"/>
              </w:rPr>
            </w:pPr>
            <w:r w:rsidRPr="007C1C9B">
              <w:rPr>
                <w:rFonts w:cs="Arial"/>
                <w:color w:val="FFFFFF" w:themeColor="background1"/>
              </w:rPr>
              <w:t>Suggestion and supporting evidence</w:t>
            </w:r>
          </w:p>
        </w:tc>
        <w:tc>
          <w:tcPr>
            <w:tcW w:w="1275" w:type="dxa"/>
            <w:shd w:val="clear" w:color="auto" w:fill="003643"/>
          </w:tcPr>
          <w:p w14:paraId="79104FBE" w14:textId="77777777" w:rsidR="00073FCE" w:rsidRPr="007C1C9B" w:rsidRDefault="00073FCE" w:rsidP="007C1C9B">
            <w:pPr>
              <w:rPr>
                <w:rFonts w:cs="Arial"/>
                <w:color w:val="FFFFFF" w:themeColor="background1"/>
              </w:rPr>
            </w:pPr>
            <w:r w:rsidRPr="007C1C9B">
              <w:rPr>
                <w:rFonts w:cs="Arial"/>
                <w:color w:val="FFFFFF" w:themeColor="background1"/>
              </w:rPr>
              <w:t>Strength</w:t>
            </w:r>
          </w:p>
        </w:tc>
      </w:tr>
      <w:tr w:rsidR="00073FCE" w:rsidRPr="00073FCE" w14:paraId="316B3F8A" w14:textId="77777777" w:rsidTr="007C1C9B">
        <w:tc>
          <w:tcPr>
            <w:tcW w:w="7797" w:type="dxa"/>
          </w:tcPr>
          <w:p w14:paraId="274980C2" w14:textId="77777777" w:rsidR="00073FCE" w:rsidRPr="00073FCE" w:rsidRDefault="00073FCE" w:rsidP="00073FCE">
            <w:pPr>
              <w:pStyle w:val="ListParagraph"/>
              <w:widowControl w:val="0"/>
              <w:numPr>
                <w:ilvl w:val="0"/>
                <w:numId w:val="14"/>
              </w:numPr>
              <w:spacing w:before="100" w:beforeAutospacing="1" w:after="100" w:afterAutospacing="1"/>
              <w:rPr>
                <w:rFonts w:cs="Arial"/>
                <w:bCs/>
                <w:iCs/>
                <w:color w:val="003643"/>
              </w:rPr>
            </w:pPr>
            <w:r w:rsidRPr="00073FCE">
              <w:rPr>
                <w:rFonts w:cs="Arial"/>
                <w:bCs/>
                <w:color w:val="003643"/>
              </w:rPr>
              <w:t>To enable play for</w:t>
            </w:r>
            <w:r w:rsidRPr="00073FCE">
              <w:rPr>
                <w:rFonts w:cs="Arial"/>
                <w:bCs/>
                <w:iCs/>
                <w:color w:val="003643"/>
              </w:rPr>
              <w:t xml:space="preserve"> children with a </w:t>
            </w:r>
            <w:r w:rsidRPr="00073FCE">
              <w:rPr>
                <w:rFonts w:cs="Arial"/>
                <w:b/>
                <w:iCs/>
                <w:color w:val="003643"/>
              </w:rPr>
              <w:t>motor impairment,</w:t>
            </w:r>
            <w:r w:rsidRPr="00073FCE">
              <w:rPr>
                <w:rFonts w:cs="Arial"/>
                <w:bCs/>
                <w:iCs/>
                <w:color w:val="003643"/>
              </w:rPr>
              <w:t xml:space="preserve"> it is suggested that potentially modifiable factors across body function/structure, activity, environmental and personal factors are observed during assessment.</w:t>
            </w:r>
          </w:p>
          <w:p w14:paraId="4A331A68" w14:textId="4F990094" w:rsidR="00073FCE" w:rsidRPr="00DD36DE" w:rsidRDefault="00073FCE" w:rsidP="00EA5403">
            <w:pPr>
              <w:ind w:left="680"/>
              <w:rPr>
                <w:rFonts w:cs="Arial"/>
                <w:bCs/>
                <w:color w:val="003643"/>
              </w:rPr>
            </w:pPr>
            <w:r w:rsidRPr="00DD36DE">
              <w:rPr>
                <w:rFonts w:cs="Arial"/>
                <w:color w:val="003643"/>
              </w:rPr>
              <w:t>(Kolehmainen et al 2015 [B]; Stanton-Chapman et al 2018 [C])</w:t>
            </w:r>
          </w:p>
          <w:p w14:paraId="2588F64D" w14:textId="77777777" w:rsidR="00073FCE" w:rsidRPr="00073FCE" w:rsidRDefault="00073FCE" w:rsidP="008E6066">
            <w:pPr>
              <w:pStyle w:val="ListParagraph"/>
              <w:ind w:left="0"/>
              <w:rPr>
                <w:rFonts w:cs="Arial"/>
                <w:color w:val="003643"/>
              </w:rPr>
            </w:pPr>
          </w:p>
        </w:tc>
        <w:tc>
          <w:tcPr>
            <w:tcW w:w="1275" w:type="dxa"/>
          </w:tcPr>
          <w:p w14:paraId="125DBEBE" w14:textId="77777777" w:rsidR="00073FCE" w:rsidRPr="00073FCE" w:rsidRDefault="00073FCE" w:rsidP="008E6066">
            <w:pPr>
              <w:pStyle w:val="ListParagraph"/>
              <w:ind w:left="227"/>
              <w:rPr>
                <w:rFonts w:cs="Arial"/>
                <w:color w:val="003643"/>
              </w:rPr>
            </w:pPr>
            <w:r w:rsidRPr="00073FCE">
              <w:rPr>
                <w:rFonts w:cs="Arial"/>
                <w:color w:val="003643"/>
              </w:rPr>
              <w:t>2B</w:t>
            </w:r>
          </w:p>
        </w:tc>
      </w:tr>
    </w:tbl>
    <w:p w14:paraId="7A7153AA" w14:textId="77777777" w:rsidR="00073FCE" w:rsidRPr="00BC0AFF" w:rsidRDefault="00073FCE" w:rsidP="00073FCE">
      <w:pPr>
        <w:pStyle w:val="BodyText"/>
        <w:kinsoku w:val="0"/>
        <w:overflowPunct w:val="0"/>
        <w:spacing w:before="2"/>
        <w:ind w:left="0"/>
        <w:rPr>
          <w:rFonts w:ascii="Arial" w:hAnsi="Arial" w:cs="Arial"/>
          <w:sz w:val="17"/>
          <w:szCs w:val="17"/>
        </w:rPr>
      </w:pPr>
    </w:p>
    <w:p w14:paraId="55349310" w14:textId="77777777" w:rsidR="007D49BB" w:rsidRDefault="007D49BB" w:rsidP="005C6AFE">
      <w:pPr>
        <w:autoSpaceDE w:val="0"/>
        <w:autoSpaceDN w:val="0"/>
        <w:adjustRightInd w:val="0"/>
        <w:rPr>
          <w:rFonts w:cs="Arial"/>
          <w:color w:val="003643"/>
        </w:rPr>
      </w:pPr>
    </w:p>
    <w:p w14:paraId="7DAF5F67" w14:textId="75A08C32" w:rsidR="005C6AFE" w:rsidRPr="00C0500F" w:rsidRDefault="005C6AFE" w:rsidP="005C6AFE">
      <w:pPr>
        <w:autoSpaceDE w:val="0"/>
        <w:autoSpaceDN w:val="0"/>
        <w:adjustRightInd w:val="0"/>
        <w:rPr>
          <w:rFonts w:cs="Arial"/>
          <w:color w:val="003643"/>
        </w:rPr>
      </w:pPr>
      <w:r w:rsidRPr="00C0500F">
        <w:rPr>
          <w:rFonts w:cs="Arial"/>
          <w:color w:val="003643"/>
        </w:rPr>
        <w:t>It is recommended that occupational therapists use the audit tool that is available to support this guideline to audit</w:t>
      </w:r>
      <w:r w:rsidR="007D1CFA">
        <w:rPr>
          <w:rFonts w:cs="Arial"/>
          <w:color w:val="003643"/>
        </w:rPr>
        <w:t xml:space="preserve"> their practice</w:t>
      </w:r>
      <w:r w:rsidRPr="00C0500F">
        <w:rPr>
          <w:rFonts w:cs="Arial"/>
          <w:color w:val="003643"/>
        </w:rPr>
        <w:t xml:space="preserve"> against the above recommendations. </w:t>
      </w:r>
    </w:p>
    <w:p w14:paraId="4BEBE97B" w14:textId="77777777" w:rsidR="005C6AFE" w:rsidRDefault="005C6AFE" w:rsidP="005C6AFE">
      <w:pPr>
        <w:autoSpaceDE w:val="0"/>
        <w:autoSpaceDN w:val="0"/>
        <w:adjustRightInd w:val="0"/>
        <w:rPr>
          <w:rFonts w:cs="Arial"/>
          <w:color w:val="003643"/>
        </w:rPr>
      </w:pPr>
    </w:p>
    <w:p w14:paraId="37FC0625" w14:textId="77777777" w:rsidR="00EA5403" w:rsidRPr="00C0500F" w:rsidRDefault="00EA5403" w:rsidP="005C6AFE">
      <w:pPr>
        <w:autoSpaceDE w:val="0"/>
        <w:autoSpaceDN w:val="0"/>
        <w:adjustRightInd w:val="0"/>
        <w:rPr>
          <w:rFonts w:cs="Arial"/>
          <w:color w:val="003643"/>
        </w:rPr>
      </w:pPr>
    </w:p>
    <w:p w14:paraId="3468DF4A" w14:textId="77777777" w:rsidR="005C6AFE" w:rsidRPr="00C0500F" w:rsidRDefault="005C6AFE" w:rsidP="00802963">
      <w:pPr>
        <w:numPr>
          <w:ilvl w:val="0"/>
          <w:numId w:val="15"/>
        </w:numPr>
        <w:autoSpaceDE w:val="0"/>
        <w:autoSpaceDN w:val="0"/>
        <w:adjustRightInd w:val="0"/>
        <w:ind w:left="357" w:hanging="357"/>
        <w:rPr>
          <w:rFonts w:cs="Arial"/>
          <w:b/>
          <w:color w:val="003643"/>
          <w:sz w:val="28"/>
        </w:rPr>
      </w:pPr>
      <w:r w:rsidRPr="00C0500F">
        <w:rPr>
          <w:rFonts w:cs="Arial"/>
          <w:b/>
          <w:color w:val="003643"/>
          <w:sz w:val="28"/>
        </w:rPr>
        <w:lastRenderedPageBreak/>
        <w:t>Guideline implementation</w:t>
      </w:r>
    </w:p>
    <w:p w14:paraId="364AD7ED" w14:textId="77777777" w:rsidR="005C6AFE" w:rsidRPr="00C0500F" w:rsidRDefault="005C6AFE" w:rsidP="005C6AFE">
      <w:pPr>
        <w:autoSpaceDE w:val="0"/>
        <w:autoSpaceDN w:val="0"/>
        <w:adjustRightInd w:val="0"/>
        <w:rPr>
          <w:rFonts w:cs="Arial"/>
          <w:color w:val="003643"/>
        </w:rPr>
      </w:pPr>
    </w:p>
    <w:p w14:paraId="704A61DB" w14:textId="38B79C4B" w:rsidR="005C6AFE" w:rsidRPr="00C0500F" w:rsidRDefault="5D43566E" w:rsidP="005C6AFE">
      <w:pPr>
        <w:rPr>
          <w:rFonts w:cs="Arial"/>
          <w:color w:val="003643"/>
        </w:rPr>
      </w:pPr>
      <w:r w:rsidRPr="4B21DA65">
        <w:rPr>
          <w:rFonts w:cs="Arial"/>
          <w:color w:val="003643"/>
        </w:rPr>
        <w:t>T</w:t>
      </w:r>
      <w:r w:rsidR="005C6AFE" w:rsidRPr="4B21DA65">
        <w:rPr>
          <w:rFonts w:cs="Arial"/>
          <w:color w:val="003643"/>
        </w:rPr>
        <w:t xml:space="preserve">here are </w:t>
      </w:r>
      <w:r w:rsidR="1581A53C" w:rsidRPr="4B21DA65">
        <w:rPr>
          <w:rFonts w:cs="Arial"/>
          <w:color w:val="003643"/>
        </w:rPr>
        <w:t>additional</w:t>
      </w:r>
      <w:r w:rsidR="005C6AFE" w:rsidRPr="00C0500F">
        <w:rPr>
          <w:rFonts w:cs="Arial"/>
          <w:color w:val="003643"/>
        </w:rPr>
        <w:t xml:space="preserve"> implementation resources available to </w:t>
      </w:r>
      <w:r w:rsidR="0573E873" w:rsidRPr="4B21DA65">
        <w:rPr>
          <w:rFonts w:cs="Arial"/>
          <w:color w:val="003643"/>
        </w:rPr>
        <w:t>help</w:t>
      </w:r>
      <w:r w:rsidR="431BBF11" w:rsidRPr="4B21DA65">
        <w:rPr>
          <w:rFonts w:cs="Arial"/>
          <w:color w:val="003643"/>
        </w:rPr>
        <w:t xml:space="preserve"> with implementation in </w:t>
      </w:r>
      <w:r w:rsidR="005C6AFE" w:rsidRPr="00C0500F">
        <w:rPr>
          <w:rFonts w:cs="Arial"/>
          <w:color w:val="003643"/>
        </w:rPr>
        <w:t xml:space="preserve">practice, including a </w:t>
      </w:r>
      <w:r w:rsidR="00472F29">
        <w:rPr>
          <w:rFonts w:cs="Arial"/>
          <w:color w:val="003643"/>
        </w:rPr>
        <w:t>continuing professional development (CPD)</w:t>
      </w:r>
      <w:r w:rsidR="005C6AFE" w:rsidRPr="00C0500F">
        <w:rPr>
          <w:rFonts w:cs="Arial"/>
          <w:color w:val="003643"/>
        </w:rPr>
        <w:t xml:space="preserve"> resource and an audit tool.  Some key tips to consider </w:t>
      </w:r>
      <w:r w:rsidR="688B1D2E" w:rsidRPr="4B21DA65">
        <w:rPr>
          <w:rFonts w:cs="Arial"/>
          <w:color w:val="003643"/>
        </w:rPr>
        <w:t xml:space="preserve">for implementation </w:t>
      </w:r>
      <w:r w:rsidR="005C6AFE" w:rsidRPr="00C0500F">
        <w:rPr>
          <w:rFonts w:cs="Arial"/>
          <w:color w:val="003643"/>
        </w:rPr>
        <w:t>are outlined in the table below.</w:t>
      </w:r>
    </w:p>
    <w:p w14:paraId="709908B0" w14:textId="77777777" w:rsidR="005C6AFE" w:rsidRPr="00C0500F" w:rsidRDefault="005C6AFE" w:rsidP="005C6AFE">
      <w:pPr>
        <w:autoSpaceDE w:val="0"/>
        <w:autoSpaceDN w:val="0"/>
        <w:adjustRightInd w:val="0"/>
        <w:rPr>
          <w:rFonts w:cs="Arial"/>
          <w:color w:val="003643"/>
        </w:rPr>
      </w:pPr>
    </w:p>
    <w:p w14:paraId="39EF4B23" w14:textId="77777777" w:rsidR="005C6AFE" w:rsidRPr="00C0500F" w:rsidRDefault="005C6AFE" w:rsidP="005C6AFE">
      <w:pPr>
        <w:autoSpaceDE w:val="0"/>
        <w:autoSpaceDN w:val="0"/>
        <w:adjustRightInd w:val="0"/>
        <w:rPr>
          <w:rFonts w:cs="Arial"/>
          <w:color w:val="003643"/>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5C6AFE" w:rsidRPr="00C0500F" w14:paraId="3CD630A3" w14:textId="77777777" w:rsidTr="006B646B">
        <w:tc>
          <w:tcPr>
            <w:tcW w:w="10173" w:type="dxa"/>
            <w:shd w:val="clear" w:color="auto" w:fill="003643"/>
          </w:tcPr>
          <w:p w14:paraId="2C2259A7" w14:textId="77777777" w:rsidR="005C6AFE" w:rsidRPr="00E11D1D" w:rsidRDefault="005C6AFE" w:rsidP="00E71227">
            <w:pPr>
              <w:spacing w:before="60" w:after="60"/>
              <w:rPr>
                <w:rFonts w:cs="Arial"/>
                <w:b/>
                <w:color w:val="FFFFFF" w:themeColor="background1"/>
              </w:rPr>
            </w:pPr>
            <w:r w:rsidRPr="00E11D1D">
              <w:rPr>
                <w:rFonts w:cs="Arial"/>
                <w:b/>
                <w:color w:val="FFFFFF" w:themeColor="background1"/>
                <w:sz w:val="28"/>
              </w:rPr>
              <w:t>Key tips</w:t>
            </w:r>
            <w:r w:rsidRPr="00E11D1D">
              <w:rPr>
                <w:rFonts w:cs="Arial"/>
                <w:b/>
                <w:color w:val="FFFFFF" w:themeColor="background1"/>
              </w:rPr>
              <w:t xml:space="preserve"> </w:t>
            </w:r>
          </w:p>
        </w:tc>
      </w:tr>
      <w:tr w:rsidR="005C6AFE" w:rsidRPr="00C0500F" w14:paraId="35A2A70D" w14:textId="77777777" w:rsidTr="006961CD">
        <w:trPr>
          <w:trHeight w:val="970"/>
        </w:trPr>
        <w:tc>
          <w:tcPr>
            <w:tcW w:w="10173" w:type="dxa"/>
            <w:shd w:val="clear" w:color="auto" w:fill="C6F1E9"/>
          </w:tcPr>
          <w:p w14:paraId="0014B64F" w14:textId="77777777" w:rsidR="005C6AFE" w:rsidRPr="00C0500F" w:rsidRDefault="005C6AFE" w:rsidP="00E71227">
            <w:pPr>
              <w:pStyle w:val="ListParagraph"/>
              <w:numPr>
                <w:ilvl w:val="0"/>
                <w:numId w:val="6"/>
              </w:numPr>
              <w:spacing w:before="80" w:after="80"/>
              <w:ind w:left="360"/>
              <w:contextualSpacing w:val="0"/>
              <w:rPr>
                <w:rFonts w:cs="Arial"/>
                <w:b/>
                <w:color w:val="003643"/>
              </w:rPr>
            </w:pPr>
            <w:r w:rsidRPr="00C0500F">
              <w:rPr>
                <w:rFonts w:cs="Arial"/>
                <w:color w:val="003643"/>
              </w:rPr>
              <w:t xml:space="preserve">Look for opportunities to </w:t>
            </w:r>
            <w:r w:rsidRPr="00C0500F">
              <w:rPr>
                <w:rFonts w:cs="Arial"/>
                <w:b/>
                <w:color w:val="003643"/>
              </w:rPr>
              <w:t>promote</w:t>
            </w:r>
            <w:r w:rsidRPr="00C0500F">
              <w:rPr>
                <w:rFonts w:cs="Arial"/>
                <w:color w:val="003643"/>
              </w:rPr>
              <w:t xml:space="preserve"> the practice guideline with colleagues and multidisciplinary team members: include on the agenda of relevant meetings. </w:t>
            </w:r>
          </w:p>
        </w:tc>
      </w:tr>
      <w:tr w:rsidR="005C6AFE" w:rsidRPr="00C0500F" w14:paraId="6D26AA7B" w14:textId="77777777" w:rsidTr="4B21DA65">
        <w:trPr>
          <w:trHeight w:val="1243"/>
        </w:trPr>
        <w:tc>
          <w:tcPr>
            <w:tcW w:w="10173" w:type="dxa"/>
            <w:shd w:val="clear" w:color="auto" w:fill="FFFFFF" w:themeFill="background1"/>
          </w:tcPr>
          <w:p w14:paraId="3BEF79F6" w14:textId="324088B7" w:rsidR="005C6AFE" w:rsidRPr="00C0500F" w:rsidRDefault="005C6AFE" w:rsidP="00E71227">
            <w:pPr>
              <w:pStyle w:val="ListParagraph"/>
              <w:numPr>
                <w:ilvl w:val="0"/>
                <w:numId w:val="6"/>
              </w:numPr>
              <w:spacing w:before="80" w:after="80"/>
              <w:ind w:left="360"/>
              <w:contextualSpacing w:val="0"/>
              <w:rPr>
                <w:rFonts w:cs="Arial"/>
                <w:b/>
                <w:color w:val="003643"/>
              </w:rPr>
            </w:pPr>
            <w:r w:rsidRPr="00C0500F">
              <w:rPr>
                <w:rFonts w:cs="Arial"/>
                <w:color w:val="003643"/>
              </w:rPr>
              <w:t xml:space="preserve">Present and discuss the evidence-based recommendations with colleagues – preferably with the multidisciplinary team. A CPD </w:t>
            </w:r>
            <w:r w:rsidRPr="00C0500F">
              <w:rPr>
                <w:rFonts w:cs="Arial"/>
                <w:b/>
                <w:color w:val="003643"/>
              </w:rPr>
              <w:t>PowerPoint</w:t>
            </w:r>
            <w:r w:rsidRPr="00C0500F">
              <w:rPr>
                <w:rFonts w:cs="Arial"/>
                <w:color w:val="003643"/>
              </w:rPr>
              <w:t xml:space="preserve"> resource is available with information already prepared and which can be tailored for your use.</w:t>
            </w:r>
          </w:p>
        </w:tc>
      </w:tr>
      <w:tr w:rsidR="005C6AFE" w:rsidRPr="00C0500F" w14:paraId="328C6014" w14:textId="77777777" w:rsidTr="006F22DF">
        <w:trPr>
          <w:trHeight w:val="1243"/>
        </w:trPr>
        <w:tc>
          <w:tcPr>
            <w:tcW w:w="10173" w:type="dxa"/>
            <w:shd w:val="clear" w:color="auto" w:fill="C6F1E9"/>
          </w:tcPr>
          <w:p w14:paraId="7F6721E6" w14:textId="4F2F7483" w:rsidR="005C6AFE" w:rsidRPr="00C0500F" w:rsidRDefault="005C6AFE" w:rsidP="00E71227">
            <w:pPr>
              <w:pStyle w:val="ListParagraph"/>
              <w:numPr>
                <w:ilvl w:val="0"/>
                <w:numId w:val="6"/>
              </w:numPr>
              <w:spacing w:before="80" w:after="80"/>
              <w:ind w:left="357" w:hanging="357"/>
              <w:contextualSpacing w:val="0"/>
              <w:rPr>
                <w:rFonts w:cs="Arial"/>
                <w:b/>
                <w:color w:val="003643"/>
              </w:rPr>
            </w:pPr>
            <w:r w:rsidRPr="00C0500F">
              <w:rPr>
                <w:rFonts w:cs="Arial"/>
                <w:color w:val="003643"/>
              </w:rPr>
              <w:t xml:space="preserve">Use the guideline </w:t>
            </w:r>
            <w:r w:rsidRPr="00C0500F">
              <w:rPr>
                <w:rFonts w:cs="Arial"/>
                <w:b/>
                <w:color w:val="003643"/>
              </w:rPr>
              <w:t>audit form</w:t>
            </w:r>
            <w:r w:rsidRPr="00C0500F">
              <w:rPr>
                <w:rFonts w:cs="Arial"/>
                <w:color w:val="003643"/>
              </w:rPr>
              <w:t xml:space="preserve"> to benchmark your service/practice and assist in identifying actions to progress implementation of recommendations. The audit form is available to download and kick-start an action plan.</w:t>
            </w:r>
          </w:p>
        </w:tc>
      </w:tr>
      <w:tr w:rsidR="005C6AFE" w:rsidRPr="00C0500F" w14:paraId="3B26293E" w14:textId="77777777" w:rsidTr="4B21DA65">
        <w:trPr>
          <w:trHeight w:val="1243"/>
        </w:trPr>
        <w:tc>
          <w:tcPr>
            <w:tcW w:w="10173" w:type="dxa"/>
            <w:shd w:val="clear" w:color="auto" w:fill="FFFFFF" w:themeFill="background1"/>
          </w:tcPr>
          <w:p w14:paraId="4E4EABEB" w14:textId="77777777" w:rsidR="005C6AFE" w:rsidRPr="00C0500F" w:rsidRDefault="005C6AFE" w:rsidP="00E71227">
            <w:pPr>
              <w:pStyle w:val="ListParagraph"/>
              <w:numPr>
                <w:ilvl w:val="0"/>
                <w:numId w:val="6"/>
              </w:numPr>
              <w:spacing w:before="80" w:after="80"/>
              <w:ind w:left="357" w:hanging="357"/>
              <w:contextualSpacing w:val="0"/>
              <w:rPr>
                <w:rFonts w:cs="Arial"/>
                <w:b/>
                <w:color w:val="003643"/>
              </w:rPr>
            </w:pPr>
            <w:r w:rsidRPr="00C0500F">
              <w:rPr>
                <w:rFonts w:cs="Arial"/>
                <w:color w:val="003643"/>
              </w:rPr>
              <w:t xml:space="preserve">Gather evidence of </w:t>
            </w:r>
            <w:r w:rsidRPr="00C0500F">
              <w:rPr>
                <w:rFonts w:cs="Arial"/>
                <w:b/>
                <w:color w:val="003643"/>
              </w:rPr>
              <w:t>outcomes</w:t>
            </w:r>
            <w:r w:rsidRPr="00C0500F">
              <w:rPr>
                <w:rFonts w:cs="Arial"/>
                <w:color w:val="003643"/>
              </w:rPr>
              <w:t xml:space="preserve"> using standardised assessments and measures. Visit: https://www.rcot.co.uk/practice-resources/occupational-therapy-topics/assessments-and-outcome-measures  </w:t>
            </w:r>
          </w:p>
        </w:tc>
      </w:tr>
      <w:tr w:rsidR="005C6AFE" w:rsidRPr="00C0500F" w14:paraId="6F1DCD70" w14:textId="77777777" w:rsidTr="006961CD">
        <w:trPr>
          <w:trHeight w:val="910"/>
        </w:trPr>
        <w:tc>
          <w:tcPr>
            <w:tcW w:w="10173" w:type="dxa"/>
            <w:shd w:val="clear" w:color="auto" w:fill="C6F1E9"/>
          </w:tcPr>
          <w:p w14:paraId="42090551" w14:textId="77777777" w:rsidR="005C6AFE" w:rsidRPr="00C0500F" w:rsidRDefault="005C6AFE" w:rsidP="00E71227">
            <w:pPr>
              <w:pStyle w:val="ListParagraph"/>
              <w:numPr>
                <w:ilvl w:val="0"/>
                <w:numId w:val="6"/>
              </w:numPr>
              <w:spacing w:before="80" w:after="80"/>
              <w:ind w:left="360"/>
              <w:contextualSpacing w:val="0"/>
              <w:rPr>
                <w:rFonts w:cs="Arial"/>
                <w:b/>
                <w:color w:val="003643"/>
              </w:rPr>
            </w:pPr>
            <w:r w:rsidRPr="00C0500F">
              <w:rPr>
                <w:rFonts w:cs="Arial"/>
                <w:color w:val="003643"/>
              </w:rPr>
              <w:t>Use the guideline evidence and recommendations to support the case for occupational therapy as part of your</w:t>
            </w:r>
            <w:r w:rsidRPr="00C0500F">
              <w:rPr>
                <w:rFonts w:cs="Arial"/>
                <w:b/>
                <w:color w:val="003643"/>
              </w:rPr>
              <w:t xml:space="preserve"> business planning and commissioning activities</w:t>
            </w:r>
            <w:r w:rsidRPr="00C0500F">
              <w:rPr>
                <w:rFonts w:cs="Arial"/>
                <w:color w:val="003643"/>
              </w:rPr>
              <w:t xml:space="preserve">.   </w:t>
            </w:r>
          </w:p>
        </w:tc>
      </w:tr>
      <w:tr w:rsidR="005C6AFE" w:rsidRPr="00C0500F" w14:paraId="1139278C" w14:textId="77777777" w:rsidTr="4B21DA65">
        <w:trPr>
          <w:trHeight w:val="1243"/>
        </w:trPr>
        <w:tc>
          <w:tcPr>
            <w:tcW w:w="10173" w:type="dxa"/>
            <w:shd w:val="clear" w:color="auto" w:fill="FFFFFF" w:themeFill="background1"/>
          </w:tcPr>
          <w:p w14:paraId="655F39CC" w14:textId="00A20F08" w:rsidR="005C6AFE" w:rsidRPr="00512475" w:rsidRDefault="005C6AFE" w:rsidP="00512475">
            <w:pPr>
              <w:pStyle w:val="ListParagraph"/>
              <w:numPr>
                <w:ilvl w:val="0"/>
                <w:numId w:val="6"/>
              </w:numPr>
              <w:spacing w:before="80" w:after="80"/>
              <w:ind w:left="360"/>
              <w:rPr>
                <w:rFonts w:cs="Arial"/>
                <w:b/>
                <w:color w:val="003643"/>
              </w:rPr>
            </w:pPr>
            <w:r w:rsidRPr="00512475">
              <w:rPr>
                <w:rFonts w:cs="Arial"/>
                <w:color w:val="003643"/>
              </w:rPr>
              <w:t xml:space="preserve">Write an </w:t>
            </w:r>
            <w:r w:rsidRPr="00512475">
              <w:rPr>
                <w:rFonts w:cs="Arial"/>
                <w:b/>
                <w:color w:val="003643"/>
              </w:rPr>
              <w:t>implementation case study</w:t>
            </w:r>
            <w:r w:rsidRPr="00512475">
              <w:rPr>
                <w:rFonts w:cs="Arial"/>
                <w:color w:val="003643"/>
              </w:rPr>
              <w:t xml:space="preserve"> to demonstrate how your service has translated the guideline recommendations into the workplace. Provide supporting performance/outcome data and feedback from people who access services to demonstrate the difference you are making </w:t>
            </w:r>
            <w:r w:rsidR="003262D3" w:rsidRPr="00512475">
              <w:rPr>
                <w:rFonts w:cs="Arial"/>
                <w:color w:val="003643"/>
              </w:rPr>
              <w:t xml:space="preserve">to </w:t>
            </w:r>
            <w:r w:rsidRPr="00512475">
              <w:rPr>
                <w:rFonts w:cs="Arial"/>
                <w:color w:val="003643"/>
              </w:rPr>
              <w:t xml:space="preserve">the quality of services, cost-effectiveness and people who access services. </w:t>
            </w:r>
            <w:r w:rsidR="006961CD" w:rsidRPr="00512475">
              <w:rPr>
                <w:rFonts w:cs="Arial"/>
                <w:color w:val="003643"/>
              </w:rPr>
              <w:t xml:space="preserve">Visit our </w:t>
            </w:r>
            <w:hyperlink r:id="rId13" w:history="1">
              <w:r w:rsidR="006961CD" w:rsidRPr="00512475">
                <w:rPr>
                  <w:rStyle w:val="Hyperlink"/>
                  <w:rFonts w:cs="Arial"/>
                </w:rPr>
                <w:t>Innovation Hub</w:t>
              </w:r>
            </w:hyperlink>
            <w:r w:rsidR="00561BCC" w:rsidRPr="00512475">
              <w:rPr>
                <w:rFonts w:cs="Arial"/>
                <w:color w:val="003643"/>
              </w:rPr>
              <w:t xml:space="preserve"> to see if you could submit your journey</w:t>
            </w:r>
            <w:r w:rsidR="00512475" w:rsidRPr="00512475">
              <w:rPr>
                <w:rFonts w:cs="Arial"/>
                <w:color w:val="003643"/>
              </w:rPr>
              <w:t>.</w:t>
            </w:r>
          </w:p>
        </w:tc>
      </w:tr>
      <w:tr w:rsidR="005C6AFE" w:rsidRPr="00C0500F" w14:paraId="7C8D4A30" w14:textId="77777777" w:rsidTr="00924A57">
        <w:tc>
          <w:tcPr>
            <w:tcW w:w="10173" w:type="dxa"/>
            <w:shd w:val="clear" w:color="auto" w:fill="003643"/>
          </w:tcPr>
          <w:p w14:paraId="58AED091" w14:textId="77777777" w:rsidR="005C6AFE" w:rsidRPr="00E11D1D" w:rsidRDefault="005C6AFE" w:rsidP="00E71227">
            <w:pPr>
              <w:spacing w:before="80" w:after="80"/>
              <w:rPr>
                <w:rFonts w:cs="Arial"/>
                <w:b/>
                <w:color w:val="FFFFFF" w:themeColor="background1"/>
              </w:rPr>
            </w:pPr>
            <w:r w:rsidRPr="00E11D1D">
              <w:rPr>
                <w:rFonts w:cs="Arial"/>
                <w:b/>
                <w:color w:val="FFFFFF" w:themeColor="background1"/>
              </w:rPr>
              <w:t xml:space="preserve">To access the implementation tools visit: </w:t>
            </w:r>
          </w:p>
          <w:p w14:paraId="4584390C" w14:textId="77777777" w:rsidR="005C6AFE" w:rsidRPr="00E11D1D" w:rsidRDefault="00802963" w:rsidP="00E71227">
            <w:pPr>
              <w:spacing w:before="80" w:after="80"/>
              <w:rPr>
                <w:rFonts w:cs="Arial"/>
                <w:b/>
                <w:color w:val="FFFFFF" w:themeColor="background1"/>
              </w:rPr>
            </w:pPr>
            <w:hyperlink r:id="rId14" w:history="1">
              <w:r w:rsidR="005C6AFE" w:rsidRPr="00E11D1D">
                <w:rPr>
                  <w:rStyle w:val="Hyperlink"/>
                  <w:rFonts w:cs="Arial"/>
                  <w:b/>
                  <w:color w:val="FFFFFF" w:themeColor="background1"/>
                </w:rPr>
                <w:t>https://www.rcot.co.uk/practice-resources/rcot-practice-guidelines</w:t>
              </w:r>
            </w:hyperlink>
            <w:r w:rsidR="005C6AFE" w:rsidRPr="00E11D1D">
              <w:rPr>
                <w:rFonts w:cs="Arial"/>
                <w:b/>
                <w:color w:val="FFFFFF" w:themeColor="background1"/>
              </w:rPr>
              <w:t xml:space="preserve"> </w:t>
            </w:r>
          </w:p>
        </w:tc>
      </w:tr>
    </w:tbl>
    <w:p w14:paraId="5364028E" w14:textId="77777777" w:rsidR="005C6AFE" w:rsidRPr="00C0500F" w:rsidRDefault="005C6AFE" w:rsidP="005C6AFE">
      <w:pPr>
        <w:rPr>
          <w:rFonts w:cs="Arial"/>
          <w:color w:val="003643"/>
        </w:rPr>
      </w:pPr>
    </w:p>
    <w:p w14:paraId="56909D70" w14:textId="77777777" w:rsidR="005C6AFE" w:rsidRPr="007A2406" w:rsidRDefault="005C6AFE" w:rsidP="005C6AFE">
      <w:pPr>
        <w:rPr>
          <w:rFonts w:eastAsia="Arial" w:cs="Arial"/>
          <w:b/>
          <w:color w:val="FFFFFF" w:themeColor="background1"/>
        </w:rPr>
      </w:pPr>
    </w:p>
    <w:p w14:paraId="04F4B978" w14:textId="77777777" w:rsidR="005C6AFE" w:rsidRDefault="005C6AFE" w:rsidP="005C6AFE">
      <w:pPr>
        <w:rPr>
          <w:rFonts w:cs="Arial"/>
          <w:color w:val="003643"/>
        </w:rPr>
      </w:pPr>
    </w:p>
    <w:p w14:paraId="3B7BD3A9" w14:textId="77777777" w:rsidR="005C6AFE" w:rsidRPr="00C0500F" w:rsidRDefault="005C6AFE" w:rsidP="005C6AFE">
      <w:pPr>
        <w:rPr>
          <w:rFonts w:cs="Arial"/>
          <w:color w:val="003643"/>
        </w:rPr>
      </w:pPr>
    </w:p>
    <w:p w14:paraId="1873D489" w14:textId="77777777" w:rsidR="005C6AFE" w:rsidRPr="00C0500F" w:rsidRDefault="005C6AFE" w:rsidP="00512475">
      <w:pPr>
        <w:numPr>
          <w:ilvl w:val="0"/>
          <w:numId w:val="16"/>
        </w:numPr>
        <w:autoSpaceDE w:val="0"/>
        <w:autoSpaceDN w:val="0"/>
        <w:adjustRightInd w:val="0"/>
        <w:ind w:left="357" w:hanging="357"/>
        <w:jc w:val="both"/>
        <w:rPr>
          <w:rFonts w:cs="Arial"/>
          <w:b/>
          <w:color w:val="003643"/>
          <w:sz w:val="28"/>
        </w:rPr>
      </w:pPr>
      <w:r w:rsidRPr="00C0500F">
        <w:rPr>
          <w:rFonts w:cs="Arial"/>
          <w:b/>
          <w:color w:val="003643"/>
          <w:sz w:val="28"/>
        </w:rPr>
        <w:t>Evidence References</w:t>
      </w:r>
    </w:p>
    <w:p w14:paraId="2EAD52F4" w14:textId="77777777" w:rsidR="005C6AFE" w:rsidRPr="00C0500F" w:rsidRDefault="005C6AFE" w:rsidP="005C6AFE">
      <w:pPr>
        <w:autoSpaceDE w:val="0"/>
        <w:autoSpaceDN w:val="0"/>
        <w:adjustRightInd w:val="0"/>
        <w:jc w:val="both"/>
        <w:rPr>
          <w:rFonts w:cs="Arial"/>
          <w:b/>
          <w:color w:val="003643"/>
        </w:rPr>
      </w:pPr>
    </w:p>
    <w:p w14:paraId="4A54238C" w14:textId="15CB596A" w:rsidR="005C6AFE" w:rsidRPr="00C0500F" w:rsidRDefault="005C6AFE" w:rsidP="005C6AFE">
      <w:pPr>
        <w:autoSpaceDE w:val="0"/>
        <w:autoSpaceDN w:val="0"/>
        <w:adjustRightInd w:val="0"/>
        <w:spacing w:after="120"/>
        <w:rPr>
          <w:rFonts w:cs="Arial"/>
          <w:color w:val="003643"/>
        </w:rPr>
      </w:pPr>
      <w:r w:rsidRPr="00C0500F">
        <w:rPr>
          <w:rFonts w:cs="Arial"/>
          <w:color w:val="003643"/>
        </w:rPr>
        <w:t xml:space="preserve">The full reference list for the evidence supporting the </w:t>
      </w:r>
      <w:r w:rsidR="00EE397E">
        <w:rPr>
          <w:rFonts w:cs="Arial"/>
          <w:color w:val="003643"/>
        </w:rPr>
        <w:t>14</w:t>
      </w:r>
      <w:r w:rsidRPr="00C0500F">
        <w:rPr>
          <w:rFonts w:cs="Arial"/>
          <w:color w:val="003643"/>
        </w:rPr>
        <w:t xml:space="preserve"> recommendations</w:t>
      </w:r>
      <w:r w:rsidR="00EE397E">
        <w:rPr>
          <w:rFonts w:cs="Arial"/>
          <w:color w:val="003643"/>
        </w:rPr>
        <w:t xml:space="preserve"> and best practice suggestion</w:t>
      </w:r>
      <w:r w:rsidRPr="00C0500F">
        <w:rPr>
          <w:rFonts w:cs="Arial"/>
          <w:color w:val="003643"/>
        </w:rPr>
        <w:t xml:space="preserve">, together with the full evidence tables, can be found in the </w:t>
      </w:r>
      <w:r w:rsidRPr="00C0500F">
        <w:rPr>
          <w:rFonts w:cs="Arial"/>
          <w:i/>
          <w:color w:val="003643"/>
        </w:rPr>
        <w:t xml:space="preserve">Occupational therapy </w:t>
      </w:r>
      <w:r w:rsidR="006108B1">
        <w:rPr>
          <w:rFonts w:cs="Arial"/>
          <w:i/>
          <w:color w:val="003643"/>
        </w:rPr>
        <w:t>and play</w:t>
      </w:r>
      <w:r w:rsidRPr="00C0500F">
        <w:rPr>
          <w:rFonts w:cs="Arial"/>
          <w:i/>
          <w:color w:val="003643"/>
        </w:rPr>
        <w:t xml:space="preserve"> practice guideline supplement:</w:t>
      </w:r>
      <w:r w:rsidRPr="00C0500F">
        <w:rPr>
          <w:rFonts w:cs="Arial"/>
          <w:color w:val="003643"/>
        </w:rPr>
        <w:t xml:space="preserve"> </w:t>
      </w:r>
      <w:r w:rsidR="009003CD">
        <w:rPr>
          <w:rFonts w:cs="Arial"/>
          <w:i/>
          <w:iCs/>
          <w:color w:val="003643"/>
        </w:rPr>
        <w:t xml:space="preserve">Appendix 2 </w:t>
      </w:r>
      <w:r w:rsidRPr="00C0500F">
        <w:rPr>
          <w:rFonts w:cs="Arial"/>
          <w:i/>
          <w:color w:val="003643"/>
        </w:rPr>
        <w:t>Evidence tables</w:t>
      </w:r>
      <w:r w:rsidRPr="00C0500F">
        <w:rPr>
          <w:rFonts w:cs="Arial"/>
          <w:color w:val="003643"/>
        </w:rPr>
        <w:t xml:space="preserve">. </w:t>
      </w:r>
    </w:p>
    <w:p w14:paraId="18E48196" w14:textId="77777777" w:rsidR="005C6AFE" w:rsidRPr="00C0500F" w:rsidRDefault="005C6AFE" w:rsidP="005C6AFE">
      <w:pPr>
        <w:autoSpaceDE w:val="0"/>
        <w:autoSpaceDN w:val="0"/>
        <w:adjustRightInd w:val="0"/>
        <w:spacing w:after="120"/>
        <w:jc w:val="both"/>
        <w:rPr>
          <w:rFonts w:cs="Arial"/>
          <w:color w:val="003643"/>
          <w:u w:val="single"/>
        </w:rPr>
      </w:pPr>
      <w:r w:rsidRPr="00C0500F">
        <w:rPr>
          <w:rFonts w:cs="Arial"/>
          <w:color w:val="003643"/>
        </w:rPr>
        <w:t xml:space="preserve">The supplement is available at: </w:t>
      </w:r>
      <w:hyperlink r:id="rId15" w:history="1">
        <w:r w:rsidRPr="00C0500F">
          <w:rPr>
            <w:rStyle w:val="Hyperlink"/>
            <w:rFonts w:cs="Arial"/>
            <w:color w:val="003643"/>
          </w:rPr>
          <w:t>https://www.rcot.co.uk/practice-resources/rcot-practice-guidelines</w:t>
        </w:r>
      </w:hyperlink>
      <w:r w:rsidRPr="00C0500F">
        <w:rPr>
          <w:rFonts w:cs="Arial"/>
          <w:color w:val="003643"/>
          <w:u w:val="single"/>
        </w:rPr>
        <w:t xml:space="preserve">  </w:t>
      </w:r>
    </w:p>
    <w:p w14:paraId="114C1529" w14:textId="77777777" w:rsidR="005C6AFE" w:rsidRDefault="005C6AFE" w:rsidP="005C6AFE">
      <w:pPr>
        <w:autoSpaceDE w:val="0"/>
        <w:autoSpaceDN w:val="0"/>
        <w:adjustRightInd w:val="0"/>
        <w:jc w:val="both"/>
        <w:rPr>
          <w:rFonts w:cs="Arial"/>
          <w:color w:val="003643"/>
          <w:u w:val="single"/>
        </w:rPr>
      </w:pPr>
    </w:p>
    <w:p w14:paraId="2ED48C2E" w14:textId="77777777" w:rsidR="005C6AFE" w:rsidRDefault="005C6AFE" w:rsidP="005C6AFE">
      <w:pPr>
        <w:autoSpaceDE w:val="0"/>
        <w:autoSpaceDN w:val="0"/>
        <w:adjustRightInd w:val="0"/>
        <w:jc w:val="both"/>
        <w:rPr>
          <w:rFonts w:cs="Arial"/>
          <w:color w:val="003643"/>
          <w:u w:val="single"/>
        </w:rPr>
      </w:pPr>
    </w:p>
    <w:p w14:paraId="5391824D" w14:textId="77777777" w:rsidR="00512475" w:rsidRPr="00C0500F" w:rsidRDefault="00512475" w:rsidP="005C6AFE">
      <w:pPr>
        <w:autoSpaceDE w:val="0"/>
        <w:autoSpaceDN w:val="0"/>
        <w:adjustRightInd w:val="0"/>
        <w:jc w:val="both"/>
        <w:rPr>
          <w:rFonts w:cs="Arial"/>
          <w:color w:val="003643"/>
          <w:u w:val="single"/>
        </w:rPr>
      </w:pPr>
    </w:p>
    <w:p w14:paraId="2B1282B9" w14:textId="77777777" w:rsidR="005C6AFE" w:rsidRPr="00C0500F" w:rsidRDefault="005C6AFE" w:rsidP="00512475">
      <w:pPr>
        <w:numPr>
          <w:ilvl w:val="0"/>
          <w:numId w:val="16"/>
        </w:numPr>
        <w:autoSpaceDE w:val="0"/>
        <w:autoSpaceDN w:val="0"/>
        <w:adjustRightInd w:val="0"/>
        <w:ind w:left="357" w:hanging="357"/>
        <w:rPr>
          <w:rFonts w:cs="Arial"/>
          <w:b/>
          <w:color w:val="003643"/>
          <w:sz w:val="28"/>
        </w:rPr>
      </w:pPr>
      <w:r w:rsidRPr="00C0500F">
        <w:rPr>
          <w:rFonts w:cs="Arial"/>
          <w:b/>
          <w:color w:val="003643"/>
          <w:sz w:val="28"/>
        </w:rPr>
        <w:lastRenderedPageBreak/>
        <w:t>References</w:t>
      </w:r>
    </w:p>
    <w:p w14:paraId="002DCE06" w14:textId="5EAF117D" w:rsidR="005C6AFE" w:rsidRDefault="005C6AFE" w:rsidP="005C6AFE">
      <w:pPr>
        <w:autoSpaceDE w:val="0"/>
        <w:autoSpaceDN w:val="0"/>
        <w:adjustRightInd w:val="0"/>
        <w:jc w:val="both"/>
        <w:rPr>
          <w:rFonts w:cs="Arial"/>
          <w:color w:val="003643"/>
        </w:rPr>
      </w:pPr>
    </w:p>
    <w:p w14:paraId="5A73753B" w14:textId="2E585C60" w:rsidR="007D57A1" w:rsidRPr="00C051A2" w:rsidRDefault="007D57A1" w:rsidP="007D57A1">
      <w:pPr>
        <w:pStyle w:val="BodyText"/>
        <w:kinsoku w:val="0"/>
        <w:overflowPunct w:val="0"/>
        <w:ind w:left="0" w:firstLine="0"/>
        <w:rPr>
          <w:rFonts w:ascii="Arial" w:hAnsi="Arial" w:cs="Arial"/>
          <w:i/>
          <w:color w:val="003643"/>
        </w:rPr>
      </w:pPr>
      <w:r w:rsidRPr="00C051A2">
        <w:rPr>
          <w:rFonts w:ascii="Arial" w:hAnsi="Arial" w:cs="Arial"/>
          <w:iCs/>
          <w:color w:val="003643"/>
        </w:rPr>
        <w:t>American Occupational Therapy Association (2020) Occupational therapy practice framework: domain and process: fourth edition.</w:t>
      </w:r>
      <w:r w:rsidRPr="00C051A2">
        <w:rPr>
          <w:rFonts w:ascii="Arial" w:hAnsi="Arial" w:cs="Arial"/>
          <w:i/>
          <w:color w:val="003643"/>
        </w:rPr>
        <w:t xml:space="preserve"> American Journal of Occupational Therapy, 74(Suppl. 2), </w:t>
      </w:r>
      <w:r w:rsidRPr="00C051A2">
        <w:rPr>
          <w:rFonts w:ascii="Arial" w:hAnsi="Arial" w:cs="Arial"/>
          <w:iCs/>
          <w:color w:val="003643"/>
        </w:rPr>
        <w:t>7412410010p1–7412410010p87.</w:t>
      </w:r>
      <w:r w:rsidRPr="00C051A2">
        <w:rPr>
          <w:rFonts w:ascii="Arial" w:hAnsi="Arial" w:cs="Arial"/>
          <w:i/>
          <w:color w:val="003643"/>
        </w:rPr>
        <w:t xml:space="preserve"> </w:t>
      </w:r>
    </w:p>
    <w:p w14:paraId="0EDC93AA" w14:textId="3F198A7E" w:rsidR="00D405EA" w:rsidRPr="00C051A2" w:rsidRDefault="00D405EA" w:rsidP="007D57A1">
      <w:pPr>
        <w:pStyle w:val="BodyText"/>
        <w:kinsoku w:val="0"/>
        <w:overflowPunct w:val="0"/>
        <w:ind w:left="0" w:firstLine="0"/>
        <w:rPr>
          <w:rFonts w:ascii="Arial" w:hAnsi="Arial" w:cs="Arial"/>
          <w:i/>
          <w:color w:val="003643"/>
        </w:rPr>
      </w:pPr>
    </w:p>
    <w:p w14:paraId="64CE8993" w14:textId="77777777" w:rsidR="0088433B" w:rsidRPr="00C051A2" w:rsidRDefault="0088433B" w:rsidP="0088433B">
      <w:pPr>
        <w:pStyle w:val="BodyText"/>
        <w:kinsoku w:val="0"/>
        <w:overflowPunct w:val="0"/>
        <w:ind w:left="0" w:firstLine="0"/>
        <w:rPr>
          <w:rFonts w:ascii="Arial" w:hAnsi="Arial" w:cs="Arial"/>
          <w:color w:val="003643"/>
        </w:rPr>
      </w:pPr>
      <w:r w:rsidRPr="00C051A2">
        <w:rPr>
          <w:rFonts w:ascii="Arial" w:hAnsi="Arial" w:cs="Arial"/>
          <w:color w:val="003643"/>
        </w:rPr>
        <w:t xml:space="preserve">Eberle SG (2014) The elements of play: toward a philosophy and a definition of play. [Online]. </w:t>
      </w:r>
      <w:r w:rsidRPr="00C051A2">
        <w:rPr>
          <w:rFonts w:ascii="Arial" w:hAnsi="Arial" w:cs="Arial"/>
          <w:i/>
          <w:iCs/>
          <w:color w:val="003643"/>
        </w:rPr>
        <w:t>American Journal of Play, 6(2),</w:t>
      </w:r>
      <w:r w:rsidRPr="00C051A2">
        <w:rPr>
          <w:rFonts w:ascii="Arial" w:hAnsi="Arial" w:cs="Arial"/>
          <w:color w:val="003643"/>
        </w:rPr>
        <w:t xml:space="preserve"> 214–233. Available at: </w:t>
      </w:r>
      <w:r w:rsidRPr="00C051A2">
        <w:rPr>
          <w:rFonts w:ascii="Arial" w:hAnsi="Arial" w:cs="Arial"/>
          <w:i/>
          <w:iCs/>
          <w:color w:val="003643"/>
        </w:rPr>
        <w:t>https://www.museumofplay.org/app/uploads/2022/01/6-2-article-elements-of-play.pdf</w:t>
      </w:r>
    </w:p>
    <w:p w14:paraId="6EF91D07" w14:textId="428BE83A" w:rsidR="00C852B2" w:rsidRPr="00C051A2" w:rsidRDefault="00C852B2" w:rsidP="00C852B2">
      <w:pPr>
        <w:pStyle w:val="BodyText"/>
        <w:kinsoku w:val="0"/>
        <w:overflowPunct w:val="0"/>
        <w:spacing w:before="259"/>
        <w:ind w:left="0" w:firstLine="0"/>
        <w:rPr>
          <w:rFonts w:ascii="Arial" w:hAnsi="Arial" w:cs="Arial"/>
          <w:color w:val="003643"/>
        </w:rPr>
      </w:pPr>
      <w:proofErr w:type="spellStart"/>
      <w:r w:rsidRPr="00C051A2">
        <w:rPr>
          <w:rFonts w:ascii="Arial" w:hAnsi="Arial" w:cs="Arial"/>
          <w:color w:val="003643"/>
        </w:rPr>
        <w:t>Kuhaneck</w:t>
      </w:r>
      <w:proofErr w:type="spellEnd"/>
      <w:r w:rsidRPr="00C051A2">
        <w:rPr>
          <w:rFonts w:ascii="Arial" w:hAnsi="Arial" w:cs="Arial"/>
          <w:color w:val="003643"/>
        </w:rPr>
        <w:t xml:space="preserve"> H, Spitzer SL (2022) </w:t>
      </w:r>
      <w:r w:rsidRPr="00C051A2">
        <w:rPr>
          <w:rFonts w:ascii="Arial" w:hAnsi="Arial" w:cs="Arial"/>
          <w:i/>
          <w:color w:val="003643"/>
        </w:rPr>
        <w:t>Making play just right: unleashing the power of play in occupational therapy</w:t>
      </w:r>
      <w:r w:rsidRPr="00C051A2">
        <w:rPr>
          <w:rFonts w:ascii="Arial" w:hAnsi="Arial" w:cs="Arial"/>
          <w:color w:val="003643"/>
        </w:rPr>
        <w:t>. Burlington, MA: Jones &amp; Bartlett Learning.</w:t>
      </w:r>
    </w:p>
    <w:p w14:paraId="0C58E220" w14:textId="0BD818D0" w:rsidR="00DD629C" w:rsidRPr="00C051A2" w:rsidRDefault="00DD629C" w:rsidP="00DD629C">
      <w:pPr>
        <w:pStyle w:val="BodyText"/>
        <w:kinsoku w:val="0"/>
        <w:overflowPunct w:val="0"/>
        <w:spacing w:before="259"/>
        <w:ind w:left="0" w:firstLine="0"/>
        <w:rPr>
          <w:rFonts w:ascii="Arial" w:hAnsi="Arial" w:cs="Arial"/>
          <w:color w:val="003643"/>
        </w:rPr>
      </w:pPr>
      <w:r w:rsidRPr="00C051A2">
        <w:rPr>
          <w:rFonts w:ascii="Arial" w:hAnsi="Arial" w:cs="Arial"/>
          <w:color w:val="003643"/>
        </w:rPr>
        <w:t xml:space="preserve">Lynch H, Hayes N, Ryan S (2016) Exploring socio-cultural influences on infant play occupations in Irish home environments. </w:t>
      </w:r>
      <w:r w:rsidRPr="00C051A2">
        <w:rPr>
          <w:rFonts w:ascii="Arial" w:hAnsi="Arial" w:cs="Arial"/>
          <w:i/>
          <w:iCs/>
          <w:color w:val="003643"/>
        </w:rPr>
        <w:t>Journal of Occupational Science, 23(3),</w:t>
      </w:r>
      <w:r w:rsidRPr="00C051A2">
        <w:rPr>
          <w:rFonts w:ascii="Arial" w:hAnsi="Arial" w:cs="Arial"/>
          <w:color w:val="003643"/>
        </w:rPr>
        <w:t xml:space="preserve"> 352–369. </w:t>
      </w:r>
    </w:p>
    <w:p w14:paraId="518BD406" w14:textId="60345906" w:rsidR="00C051A2" w:rsidRPr="00C051A2" w:rsidRDefault="00C051A2" w:rsidP="00C051A2">
      <w:pPr>
        <w:pStyle w:val="BodyText"/>
        <w:kinsoku w:val="0"/>
        <w:overflowPunct w:val="0"/>
        <w:spacing w:before="258"/>
        <w:ind w:left="0" w:firstLine="0"/>
        <w:rPr>
          <w:rFonts w:ascii="Arial" w:hAnsi="Arial" w:cs="Arial"/>
          <w:i/>
          <w:iCs/>
          <w:color w:val="003643"/>
        </w:rPr>
      </w:pPr>
      <w:r w:rsidRPr="00C051A2">
        <w:rPr>
          <w:rFonts w:ascii="Arial" w:hAnsi="Arial" w:cs="Arial"/>
          <w:color w:val="003643"/>
        </w:rPr>
        <w:t xml:space="preserve">Royal College of Occupational Therapists (2021) </w:t>
      </w:r>
      <w:r w:rsidRPr="00C051A2">
        <w:rPr>
          <w:rFonts w:ascii="Arial" w:hAnsi="Arial" w:cs="Arial"/>
          <w:i/>
          <w:iCs/>
          <w:color w:val="003643"/>
        </w:rPr>
        <w:t xml:space="preserve">Professional standards for occupational therapy practice, conduct and ethics. </w:t>
      </w:r>
      <w:r w:rsidRPr="00C051A2">
        <w:rPr>
          <w:rFonts w:ascii="Arial" w:hAnsi="Arial" w:cs="Arial"/>
          <w:color w:val="003643"/>
        </w:rPr>
        <w:t>London: RCOT.</w:t>
      </w:r>
      <w:r w:rsidRPr="00C051A2">
        <w:rPr>
          <w:rFonts w:ascii="Arial" w:hAnsi="Arial" w:cs="Arial"/>
          <w:i/>
          <w:iCs/>
          <w:color w:val="003643"/>
        </w:rPr>
        <w:t xml:space="preserve"> </w:t>
      </w:r>
      <w:r w:rsidRPr="00C051A2">
        <w:rPr>
          <w:rFonts w:ascii="Arial" w:hAnsi="Arial" w:cs="Arial"/>
          <w:color w:val="003643"/>
        </w:rPr>
        <w:t xml:space="preserve">Available at: </w:t>
      </w:r>
      <w:r w:rsidRPr="00C051A2">
        <w:rPr>
          <w:rFonts w:ascii="Arial" w:hAnsi="Arial" w:cs="Arial"/>
          <w:i/>
          <w:iCs/>
          <w:color w:val="003643"/>
        </w:rPr>
        <w:t>https://www.rcot.co.uk/publications/professional-standards-occupational-therapy-practice-conduct-and-ethics</w:t>
      </w:r>
    </w:p>
    <w:p w14:paraId="2C2F518D" w14:textId="09104DF8" w:rsidR="00D405EA" w:rsidRPr="00C051A2" w:rsidRDefault="00043679" w:rsidP="00D405EA">
      <w:pPr>
        <w:pStyle w:val="BodyText"/>
        <w:kinsoku w:val="0"/>
        <w:overflowPunct w:val="0"/>
        <w:spacing w:before="251"/>
        <w:ind w:left="0" w:firstLine="0"/>
        <w:rPr>
          <w:rFonts w:ascii="Arial" w:hAnsi="Arial" w:cs="Arial"/>
          <w:color w:val="003643"/>
        </w:rPr>
      </w:pPr>
      <w:proofErr w:type="spellStart"/>
      <w:r w:rsidRPr="00C051A2">
        <w:rPr>
          <w:rFonts w:ascii="Arial" w:hAnsi="Arial" w:cs="Arial"/>
          <w:color w:val="003643"/>
        </w:rPr>
        <w:t>Skard</w:t>
      </w:r>
      <w:proofErr w:type="spellEnd"/>
      <w:r w:rsidRPr="00C051A2">
        <w:rPr>
          <w:rFonts w:ascii="Arial" w:hAnsi="Arial" w:cs="Arial"/>
          <w:color w:val="003643"/>
        </w:rPr>
        <w:t xml:space="preserve"> G, Bundy A (2008) Test of playfulness. In: LD Parham, LS Fazio, eds. </w:t>
      </w:r>
      <w:r w:rsidRPr="00C051A2">
        <w:rPr>
          <w:rFonts w:ascii="Arial" w:hAnsi="Arial" w:cs="Arial"/>
          <w:i/>
          <w:iCs/>
          <w:color w:val="003643"/>
        </w:rPr>
        <w:t>Play in occupational therapy for children</w:t>
      </w:r>
      <w:r w:rsidRPr="00C051A2">
        <w:rPr>
          <w:rFonts w:ascii="Arial" w:hAnsi="Arial" w:cs="Arial"/>
          <w:color w:val="003643"/>
        </w:rPr>
        <w:t>. 2</w:t>
      </w:r>
      <w:r w:rsidRPr="00C051A2">
        <w:rPr>
          <w:rFonts w:ascii="Arial" w:hAnsi="Arial" w:cs="Arial"/>
          <w:color w:val="003643"/>
          <w:vertAlign w:val="superscript"/>
        </w:rPr>
        <w:t>nd</w:t>
      </w:r>
      <w:r w:rsidRPr="00C051A2">
        <w:rPr>
          <w:rFonts w:ascii="Arial" w:hAnsi="Arial" w:cs="Arial"/>
          <w:color w:val="003643"/>
        </w:rPr>
        <w:t xml:space="preserve"> ed. St. Louis, MO: Mosby. 71-93. </w:t>
      </w:r>
    </w:p>
    <w:p w14:paraId="632B68CC" w14:textId="4C23876C" w:rsidR="00D405EA" w:rsidRPr="00C051A2" w:rsidRDefault="00D405EA" w:rsidP="00D405EA">
      <w:pPr>
        <w:pStyle w:val="BodyText"/>
        <w:kinsoku w:val="0"/>
        <w:overflowPunct w:val="0"/>
        <w:spacing w:before="251"/>
        <w:ind w:left="0" w:firstLine="0"/>
        <w:rPr>
          <w:rFonts w:ascii="Arial" w:hAnsi="Arial" w:cs="Arial"/>
          <w:color w:val="003643"/>
        </w:rPr>
      </w:pPr>
      <w:r w:rsidRPr="00C051A2">
        <w:rPr>
          <w:rFonts w:ascii="Arial" w:hAnsi="Arial" w:cs="Arial"/>
          <w:color w:val="003643"/>
        </w:rPr>
        <w:t xml:space="preserve">Sutton-Smith B (2009) </w:t>
      </w:r>
      <w:r w:rsidRPr="00C051A2">
        <w:rPr>
          <w:rFonts w:ascii="Arial" w:hAnsi="Arial" w:cs="Arial"/>
          <w:i/>
          <w:iCs/>
          <w:color w:val="003643"/>
        </w:rPr>
        <w:t>The ambiguity of play</w:t>
      </w:r>
      <w:r w:rsidRPr="00C051A2">
        <w:rPr>
          <w:rFonts w:ascii="Arial" w:hAnsi="Arial" w:cs="Arial"/>
          <w:color w:val="003643"/>
        </w:rPr>
        <w:t>. Cambridge, MA: Harvard University Press.</w:t>
      </w:r>
    </w:p>
    <w:p w14:paraId="79F91451" w14:textId="77777777" w:rsidR="004A193E" w:rsidRPr="00C051A2" w:rsidRDefault="004A193E" w:rsidP="004A193E">
      <w:pPr>
        <w:pStyle w:val="BodyText"/>
        <w:kinsoku w:val="0"/>
        <w:overflowPunct w:val="0"/>
        <w:spacing w:before="1"/>
        <w:ind w:left="0" w:firstLine="0"/>
        <w:rPr>
          <w:rFonts w:ascii="Arial" w:hAnsi="Arial" w:cs="Arial"/>
          <w:color w:val="003643"/>
        </w:rPr>
      </w:pPr>
    </w:p>
    <w:p w14:paraId="7E3FFD0E" w14:textId="52D2BF13" w:rsidR="004A193E" w:rsidRPr="00C051A2" w:rsidRDefault="004A193E" w:rsidP="004A193E">
      <w:pPr>
        <w:pStyle w:val="BodyText"/>
        <w:kinsoku w:val="0"/>
        <w:overflowPunct w:val="0"/>
        <w:spacing w:before="1"/>
        <w:ind w:left="0" w:firstLine="0"/>
        <w:rPr>
          <w:rFonts w:ascii="Arial" w:hAnsi="Arial" w:cs="Arial"/>
          <w:color w:val="003643"/>
        </w:rPr>
      </w:pPr>
      <w:r w:rsidRPr="00C051A2">
        <w:rPr>
          <w:rFonts w:ascii="Arial" w:hAnsi="Arial" w:cs="Arial"/>
          <w:color w:val="003643"/>
        </w:rPr>
        <w:t xml:space="preserve">World Federation of Occupational Therapists (2012) </w:t>
      </w:r>
      <w:r w:rsidRPr="00C051A2">
        <w:rPr>
          <w:rFonts w:ascii="Arial" w:hAnsi="Arial" w:cs="Arial"/>
          <w:i/>
          <w:iCs/>
          <w:color w:val="003643"/>
        </w:rPr>
        <w:t xml:space="preserve">Definitions of occupational therapy from member organisations. </w:t>
      </w:r>
      <w:r w:rsidRPr="00C051A2">
        <w:rPr>
          <w:rFonts w:ascii="Arial" w:hAnsi="Arial" w:cs="Arial"/>
          <w:color w:val="003643"/>
        </w:rPr>
        <w:t>2018 revision. [</w:t>
      </w:r>
      <w:proofErr w:type="spellStart"/>
      <w:r w:rsidRPr="00C051A2">
        <w:rPr>
          <w:rFonts w:ascii="Arial" w:hAnsi="Arial" w:cs="Arial"/>
          <w:color w:val="003643"/>
        </w:rPr>
        <w:t>s.l</w:t>
      </w:r>
      <w:proofErr w:type="spellEnd"/>
      <w:r w:rsidRPr="00C051A2">
        <w:rPr>
          <w:rFonts w:ascii="Arial" w:hAnsi="Arial" w:cs="Arial"/>
          <w:color w:val="003643"/>
        </w:rPr>
        <w:t xml:space="preserve">]: WFOT. Available at: </w:t>
      </w:r>
      <w:r w:rsidRPr="00C051A2">
        <w:rPr>
          <w:rFonts w:ascii="Arial" w:hAnsi="Arial" w:cs="Arial"/>
          <w:i/>
          <w:iCs/>
          <w:color w:val="003643"/>
        </w:rPr>
        <w:t>https://wfot.org/resources/definitions-of-occupational-therapy-from-member-organisations</w:t>
      </w:r>
    </w:p>
    <w:p w14:paraId="0A0F0BAF" w14:textId="77777777" w:rsidR="004A193E" w:rsidRPr="00BC0AFF" w:rsidRDefault="004A193E" w:rsidP="00D405EA">
      <w:pPr>
        <w:pStyle w:val="BodyText"/>
        <w:kinsoku w:val="0"/>
        <w:overflowPunct w:val="0"/>
        <w:spacing w:before="251"/>
        <w:ind w:left="0" w:firstLine="0"/>
        <w:rPr>
          <w:rFonts w:ascii="Arial" w:hAnsi="Arial" w:cs="Arial"/>
        </w:rPr>
      </w:pPr>
    </w:p>
    <w:p w14:paraId="5A678EBF" w14:textId="32589BD2" w:rsidR="005C6AFE" w:rsidRPr="00C0500F" w:rsidRDefault="005C6AFE" w:rsidP="005C6AFE">
      <w:pPr>
        <w:autoSpaceDE w:val="0"/>
        <w:autoSpaceDN w:val="0"/>
        <w:adjustRightInd w:val="0"/>
        <w:jc w:val="right"/>
        <w:rPr>
          <w:rFonts w:cs="Arial"/>
          <w:color w:val="003643"/>
          <w:sz w:val="21"/>
          <w:szCs w:val="21"/>
        </w:rPr>
      </w:pPr>
      <w:r w:rsidRPr="00C0500F">
        <w:rPr>
          <w:rFonts w:cs="Arial"/>
          <w:bCs/>
          <w:color w:val="003643"/>
          <w:sz w:val="21"/>
          <w:szCs w:val="21"/>
        </w:rPr>
        <w:t xml:space="preserve">All websites in these references were accessed on </w:t>
      </w:r>
      <w:r w:rsidR="00654B96">
        <w:rPr>
          <w:rFonts w:cs="Arial"/>
          <w:bCs/>
          <w:color w:val="003643"/>
          <w:sz w:val="21"/>
          <w:szCs w:val="21"/>
        </w:rPr>
        <w:t>06</w:t>
      </w:r>
      <w:r w:rsidRPr="00C0500F">
        <w:rPr>
          <w:rFonts w:cs="Arial"/>
          <w:bCs/>
          <w:color w:val="003643"/>
          <w:sz w:val="21"/>
          <w:szCs w:val="21"/>
        </w:rPr>
        <w:t>.0</w:t>
      </w:r>
      <w:r w:rsidR="00781BD5">
        <w:rPr>
          <w:rFonts w:cs="Arial"/>
          <w:bCs/>
          <w:color w:val="003643"/>
          <w:sz w:val="21"/>
          <w:szCs w:val="21"/>
        </w:rPr>
        <w:t>2</w:t>
      </w:r>
      <w:r w:rsidRPr="00C0500F">
        <w:rPr>
          <w:rFonts w:cs="Arial"/>
          <w:bCs/>
          <w:color w:val="003643"/>
          <w:sz w:val="21"/>
          <w:szCs w:val="21"/>
        </w:rPr>
        <w:t>.2</w:t>
      </w:r>
      <w:r w:rsidR="00781BD5">
        <w:rPr>
          <w:rFonts w:cs="Arial"/>
          <w:bCs/>
          <w:color w:val="003643"/>
          <w:sz w:val="21"/>
          <w:szCs w:val="21"/>
        </w:rPr>
        <w:t>3</w:t>
      </w:r>
      <w:r w:rsidRPr="00C0500F">
        <w:rPr>
          <w:rFonts w:cs="Arial"/>
          <w:bCs/>
          <w:color w:val="003643"/>
          <w:sz w:val="21"/>
          <w:szCs w:val="21"/>
        </w:rPr>
        <w:t>.</w:t>
      </w:r>
      <w:r w:rsidRPr="00C0500F">
        <w:rPr>
          <w:rFonts w:cs="Arial"/>
          <w:color w:val="003643"/>
          <w:sz w:val="21"/>
          <w:szCs w:val="21"/>
        </w:rPr>
        <w:t xml:space="preserve"> </w:t>
      </w:r>
    </w:p>
    <w:p w14:paraId="562ACC5A" w14:textId="0A11D293" w:rsidR="00F35A04" w:rsidRPr="00C0500F" w:rsidRDefault="00064102" w:rsidP="00527F26">
      <w:pPr>
        <w:autoSpaceDE w:val="0"/>
        <w:autoSpaceDN w:val="0"/>
        <w:adjustRightInd w:val="0"/>
        <w:jc w:val="right"/>
        <w:rPr>
          <w:rFonts w:cs="Arial"/>
          <w:color w:val="003643"/>
          <w:sz w:val="21"/>
          <w:szCs w:val="21"/>
        </w:rPr>
      </w:pPr>
      <w:r w:rsidRPr="00C0500F">
        <w:rPr>
          <w:rFonts w:cs="Arial"/>
          <w:color w:val="003643"/>
          <w:sz w:val="21"/>
          <w:szCs w:val="21"/>
        </w:rPr>
        <w:t xml:space="preserve"> </w:t>
      </w:r>
    </w:p>
    <w:p w14:paraId="1F71350B" w14:textId="77777777" w:rsidR="00DC7A14" w:rsidRPr="00C0500F" w:rsidRDefault="00DC7A14">
      <w:pPr>
        <w:autoSpaceDE w:val="0"/>
        <w:autoSpaceDN w:val="0"/>
        <w:adjustRightInd w:val="0"/>
        <w:jc w:val="right"/>
        <w:rPr>
          <w:rFonts w:cs="Arial"/>
          <w:color w:val="003643"/>
          <w:sz w:val="21"/>
          <w:szCs w:val="21"/>
        </w:rPr>
      </w:pPr>
    </w:p>
    <w:p w14:paraId="1D252F78" w14:textId="77777777" w:rsidR="00C0500F" w:rsidRPr="00C0500F" w:rsidRDefault="00C0500F">
      <w:pPr>
        <w:autoSpaceDE w:val="0"/>
        <w:autoSpaceDN w:val="0"/>
        <w:adjustRightInd w:val="0"/>
        <w:jc w:val="right"/>
        <w:rPr>
          <w:rFonts w:cs="Arial"/>
          <w:color w:val="003643"/>
          <w:sz w:val="21"/>
          <w:szCs w:val="21"/>
        </w:rPr>
      </w:pPr>
    </w:p>
    <w:sectPr w:rsidR="00C0500F" w:rsidRPr="00C0500F" w:rsidSect="00B96A91">
      <w:headerReference w:type="default" r:id="rId16"/>
      <w:footerReference w:type="default" r:id="rId17"/>
      <w:footerReference w:type="first" r:id="rId18"/>
      <w:pgSz w:w="11906" w:h="16838"/>
      <w:pgMar w:top="0" w:right="1104" w:bottom="0" w:left="102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48EB" w14:textId="77777777" w:rsidR="00B33CA1" w:rsidRDefault="00B33CA1" w:rsidP="00B1138C">
      <w:r>
        <w:separator/>
      </w:r>
    </w:p>
  </w:endnote>
  <w:endnote w:type="continuationSeparator" w:id="0">
    <w:p w14:paraId="17663BD6" w14:textId="77777777" w:rsidR="00B33CA1" w:rsidRDefault="00B33CA1" w:rsidP="00B1138C">
      <w:r>
        <w:continuationSeparator/>
      </w:r>
    </w:p>
  </w:endnote>
  <w:endnote w:type="continuationNotice" w:id="1">
    <w:p w14:paraId="7D1C7D81" w14:textId="77777777" w:rsidR="00B33CA1" w:rsidRDefault="00B33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auto"/>
    <w:notTrueType/>
    <w:pitch w:val="variable"/>
    <w:sig w:usb0="00000003" w:usb1="00000000" w:usb2="00000000" w:usb3="00000000" w:csb0="00000001" w:csb1="00000000"/>
  </w:font>
  <w:font w:name="Frutiger-Roman">
    <w:altName w:val="MS Mincho"/>
    <w:panose1 w:val="00000000000000000000"/>
    <w:charset w:val="00"/>
    <w:family w:val="roman"/>
    <w:notTrueType/>
    <w:pitch w:val="default"/>
    <w:sig w:usb0="00000003" w:usb1="00000000" w:usb2="00000000" w:usb3="00000000" w:csb0="00000001" w:csb1="00000000"/>
  </w:font>
  <w:font w:name="Frutiger-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A5B5" w14:textId="5E349D9D" w:rsidR="00F045B9" w:rsidRPr="008A21C3" w:rsidRDefault="00F045B9" w:rsidP="006149A2">
    <w:pPr>
      <w:pStyle w:val="Footer"/>
      <w:pBdr>
        <w:top w:val="single" w:sz="4" w:space="1" w:color="auto"/>
      </w:pBdr>
      <w:tabs>
        <w:tab w:val="clear" w:pos="9026"/>
        <w:tab w:val="left" w:pos="9923"/>
      </w:tabs>
      <w:rPr>
        <w:rStyle w:val="PageNumber"/>
        <w:rFonts w:cs="Arial"/>
        <w:color w:val="003643"/>
        <w:sz w:val="16"/>
      </w:rPr>
    </w:pPr>
    <w:r w:rsidRPr="008A21C3">
      <w:rPr>
        <w:rStyle w:val="PageNumber"/>
        <w:rFonts w:cs="Arial"/>
        <w:color w:val="003643"/>
        <w:sz w:val="16"/>
      </w:rPr>
      <w:t>© 20</w:t>
    </w:r>
    <w:r w:rsidR="00AE5F82" w:rsidRPr="008A21C3">
      <w:rPr>
        <w:rStyle w:val="PageNumber"/>
        <w:rFonts w:cs="Arial"/>
        <w:color w:val="003643"/>
        <w:sz w:val="16"/>
      </w:rPr>
      <w:t>2</w:t>
    </w:r>
    <w:r w:rsidR="00A20F83">
      <w:rPr>
        <w:rStyle w:val="PageNumber"/>
        <w:rFonts w:cs="Arial"/>
        <w:color w:val="003643"/>
        <w:sz w:val="16"/>
      </w:rPr>
      <w:t>3</w:t>
    </w:r>
    <w:r w:rsidRPr="008A21C3">
      <w:rPr>
        <w:rStyle w:val="PageNumber"/>
        <w:rFonts w:cs="Arial"/>
        <w:color w:val="003643"/>
        <w:sz w:val="16"/>
      </w:rPr>
      <w:t xml:space="preserve"> Royal College of Occupational Therapists</w:t>
    </w:r>
  </w:p>
  <w:p w14:paraId="3C1ADD68" w14:textId="3E6FB750" w:rsidR="00F045B9" w:rsidRPr="008A21C3" w:rsidRDefault="00F045B9" w:rsidP="006149A2">
    <w:pPr>
      <w:pStyle w:val="Footer"/>
      <w:pBdr>
        <w:top w:val="single" w:sz="4" w:space="1" w:color="auto"/>
      </w:pBdr>
      <w:tabs>
        <w:tab w:val="clear" w:pos="9026"/>
        <w:tab w:val="right" w:pos="9781"/>
      </w:tabs>
      <w:rPr>
        <w:rStyle w:val="PageNumber"/>
        <w:rFonts w:cs="Arial"/>
        <w:color w:val="003643"/>
        <w:sz w:val="16"/>
      </w:rPr>
    </w:pPr>
    <w:r w:rsidRPr="008A21C3">
      <w:rPr>
        <w:rStyle w:val="PageNumber"/>
        <w:rFonts w:cs="Arial"/>
        <w:color w:val="003643"/>
        <w:sz w:val="16"/>
      </w:rPr>
      <w:t>This Quick Reference</w:t>
    </w:r>
    <w:r w:rsidR="0085057A" w:rsidRPr="008A21C3">
      <w:rPr>
        <w:rStyle w:val="PageNumber"/>
        <w:rFonts w:cs="Arial"/>
        <w:color w:val="003643"/>
        <w:sz w:val="16"/>
      </w:rPr>
      <w:t xml:space="preserve"> and Implementation</w:t>
    </w:r>
    <w:r w:rsidRPr="008A21C3">
      <w:rPr>
        <w:rStyle w:val="PageNumber"/>
        <w:rFonts w:cs="Arial"/>
        <w:color w:val="003643"/>
        <w:sz w:val="16"/>
      </w:rPr>
      <w:t xml:space="preserve"> Guide may be photocopied for non-commercial use</w:t>
    </w:r>
    <w:r w:rsidRPr="008A21C3">
      <w:rPr>
        <w:rStyle w:val="PageNumber"/>
        <w:rFonts w:cs="Arial"/>
        <w:color w:val="003643"/>
        <w:sz w:val="16"/>
      </w:rPr>
      <w:tab/>
      <w:t xml:space="preserve">                           Page </w:t>
    </w:r>
    <w:r w:rsidRPr="008A21C3">
      <w:rPr>
        <w:rStyle w:val="PageNumber"/>
        <w:rFonts w:cs="Arial"/>
        <w:color w:val="003643"/>
        <w:sz w:val="16"/>
      </w:rPr>
      <w:fldChar w:fldCharType="begin"/>
    </w:r>
    <w:r w:rsidRPr="008A21C3">
      <w:rPr>
        <w:rStyle w:val="PageNumber"/>
        <w:rFonts w:cs="Arial"/>
        <w:color w:val="003643"/>
        <w:sz w:val="16"/>
      </w:rPr>
      <w:instrText xml:space="preserve"> PAGE </w:instrText>
    </w:r>
    <w:r w:rsidRPr="008A21C3">
      <w:rPr>
        <w:rStyle w:val="PageNumber"/>
        <w:rFonts w:cs="Arial"/>
        <w:color w:val="003643"/>
        <w:sz w:val="16"/>
      </w:rPr>
      <w:fldChar w:fldCharType="separate"/>
    </w:r>
    <w:r w:rsidR="005A0425" w:rsidRPr="008A21C3">
      <w:rPr>
        <w:rStyle w:val="PageNumber"/>
        <w:rFonts w:cs="Arial"/>
        <w:noProof/>
        <w:color w:val="003643"/>
        <w:sz w:val="16"/>
      </w:rPr>
      <w:t>2</w:t>
    </w:r>
    <w:r w:rsidRPr="008A21C3">
      <w:rPr>
        <w:rStyle w:val="PageNumber"/>
        <w:rFonts w:cs="Arial"/>
        <w:color w:val="003643"/>
        <w:sz w:val="16"/>
      </w:rPr>
      <w:fldChar w:fldCharType="end"/>
    </w:r>
    <w:r w:rsidRPr="008A21C3">
      <w:rPr>
        <w:rStyle w:val="PageNumber"/>
        <w:rFonts w:cs="Arial"/>
        <w:color w:val="003643"/>
        <w:sz w:val="16"/>
      </w:rPr>
      <w:t xml:space="preserve"> of </w:t>
    </w:r>
    <w:r w:rsidRPr="008A21C3">
      <w:rPr>
        <w:rStyle w:val="PageNumber"/>
        <w:rFonts w:cs="Arial"/>
        <w:color w:val="003643"/>
        <w:sz w:val="16"/>
      </w:rPr>
      <w:fldChar w:fldCharType="begin"/>
    </w:r>
    <w:r w:rsidRPr="008A21C3">
      <w:rPr>
        <w:rStyle w:val="PageNumber"/>
        <w:rFonts w:cs="Arial"/>
        <w:color w:val="003643"/>
        <w:sz w:val="16"/>
      </w:rPr>
      <w:instrText xml:space="preserve"> NUMPAGES </w:instrText>
    </w:r>
    <w:r w:rsidRPr="008A21C3">
      <w:rPr>
        <w:rStyle w:val="PageNumber"/>
        <w:rFonts w:cs="Arial"/>
        <w:color w:val="003643"/>
        <w:sz w:val="16"/>
      </w:rPr>
      <w:fldChar w:fldCharType="separate"/>
    </w:r>
    <w:r w:rsidR="005A0425" w:rsidRPr="008A21C3">
      <w:rPr>
        <w:rStyle w:val="PageNumber"/>
        <w:rFonts w:cs="Arial"/>
        <w:noProof/>
        <w:color w:val="003643"/>
        <w:sz w:val="16"/>
      </w:rPr>
      <w:t>8</w:t>
    </w:r>
    <w:r w:rsidRPr="008A21C3">
      <w:rPr>
        <w:rStyle w:val="PageNumber"/>
        <w:rFonts w:cs="Arial"/>
        <w:color w:val="003643"/>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48EE" w14:textId="267D2441" w:rsidR="00F045B9" w:rsidRPr="001D1991" w:rsidRDefault="00F045B9" w:rsidP="00E7777E">
    <w:pPr>
      <w:pStyle w:val="Footer"/>
      <w:pBdr>
        <w:top w:val="single" w:sz="4" w:space="1" w:color="auto"/>
      </w:pBdr>
      <w:tabs>
        <w:tab w:val="clear" w:pos="9026"/>
        <w:tab w:val="right" w:pos="9781"/>
      </w:tabs>
      <w:rPr>
        <w:rStyle w:val="PageNumber"/>
        <w:rFonts w:cs="Arial"/>
        <w:sz w:val="16"/>
      </w:rPr>
    </w:pPr>
    <w:r w:rsidRPr="001D1991">
      <w:rPr>
        <w:rStyle w:val="PageNumber"/>
        <w:rFonts w:cs="Arial"/>
        <w:sz w:val="16"/>
      </w:rPr>
      <w:t>© 20</w:t>
    </w:r>
    <w:r w:rsidR="00C47F35">
      <w:rPr>
        <w:rStyle w:val="PageNumber"/>
        <w:rFonts w:cs="Arial"/>
        <w:sz w:val="16"/>
      </w:rPr>
      <w:t>22</w:t>
    </w:r>
    <w:r w:rsidRPr="001D1991">
      <w:rPr>
        <w:rStyle w:val="PageNumber"/>
        <w:rFonts w:cs="Arial"/>
        <w:sz w:val="16"/>
      </w:rPr>
      <w:t xml:space="preserve"> </w:t>
    </w:r>
    <w:r>
      <w:rPr>
        <w:rStyle w:val="PageNumber"/>
        <w:rFonts w:cs="Arial"/>
        <w:sz w:val="16"/>
      </w:rPr>
      <w:t xml:space="preserve">Royal </w:t>
    </w:r>
    <w:r w:rsidRPr="001D1991">
      <w:rPr>
        <w:rStyle w:val="PageNumber"/>
        <w:rFonts w:cs="Arial"/>
        <w:sz w:val="16"/>
      </w:rPr>
      <w:t>College of Occupational Therapists</w:t>
    </w:r>
  </w:p>
  <w:p w14:paraId="704E943F" w14:textId="77777777" w:rsidR="00F045B9" w:rsidRPr="001D1991" w:rsidRDefault="00F045B9" w:rsidP="00E7777E">
    <w:pPr>
      <w:pStyle w:val="Footer"/>
      <w:pBdr>
        <w:top w:val="single" w:sz="4" w:space="1" w:color="auto"/>
      </w:pBdr>
      <w:tabs>
        <w:tab w:val="clear" w:pos="9026"/>
        <w:tab w:val="right" w:pos="9781"/>
        <w:tab w:val="right" w:pos="9923"/>
      </w:tabs>
      <w:rPr>
        <w:rStyle w:val="PageNumber"/>
        <w:rFonts w:cs="Arial"/>
        <w:sz w:val="16"/>
      </w:rPr>
    </w:pPr>
    <w:r w:rsidRPr="001D1991">
      <w:rPr>
        <w:rStyle w:val="PageNumber"/>
        <w:rFonts w:cs="Arial"/>
        <w:sz w:val="16"/>
      </w:rPr>
      <w:t xml:space="preserve">This Quick Reference </w:t>
    </w:r>
    <w:r w:rsidR="00842ABC">
      <w:rPr>
        <w:rStyle w:val="PageNumber"/>
        <w:rFonts w:cs="Arial"/>
        <w:sz w:val="16"/>
      </w:rPr>
      <w:t xml:space="preserve">and Implementation </w:t>
    </w:r>
    <w:r w:rsidRPr="001D1991">
      <w:rPr>
        <w:rStyle w:val="PageNumber"/>
        <w:rFonts w:cs="Arial"/>
        <w:sz w:val="16"/>
      </w:rPr>
      <w:t>Guide may be photocopied for non-commercial use</w:t>
    </w:r>
    <w:r w:rsidRPr="001D1991">
      <w:rPr>
        <w:rStyle w:val="PageNumber"/>
        <w:rFonts w:cs="Arial"/>
        <w:sz w:val="16"/>
      </w:rPr>
      <w:tab/>
      <w:t xml:space="preserve">              </w:t>
    </w:r>
    <w:r>
      <w:rPr>
        <w:rStyle w:val="PageNumber"/>
        <w:rFonts w:cs="Arial"/>
        <w:sz w:val="16"/>
      </w:rPr>
      <w:t xml:space="preserve">       </w:t>
    </w:r>
    <w:r w:rsidRPr="001D1991">
      <w:rPr>
        <w:rStyle w:val="PageNumber"/>
        <w:rFonts w:cs="Arial"/>
        <w:sz w:val="16"/>
      </w:rPr>
      <w:t xml:space="preserve">      Page </w:t>
    </w:r>
    <w:r w:rsidRPr="001D1991">
      <w:rPr>
        <w:rStyle w:val="PageNumber"/>
        <w:rFonts w:cs="Arial"/>
        <w:sz w:val="16"/>
      </w:rPr>
      <w:fldChar w:fldCharType="begin"/>
    </w:r>
    <w:r w:rsidRPr="001D1991">
      <w:rPr>
        <w:rStyle w:val="PageNumber"/>
        <w:rFonts w:cs="Arial"/>
        <w:sz w:val="16"/>
      </w:rPr>
      <w:instrText xml:space="preserve"> PAGE </w:instrText>
    </w:r>
    <w:r w:rsidRPr="001D1991">
      <w:rPr>
        <w:rStyle w:val="PageNumber"/>
        <w:rFonts w:cs="Arial"/>
        <w:sz w:val="16"/>
      </w:rPr>
      <w:fldChar w:fldCharType="separate"/>
    </w:r>
    <w:r w:rsidR="005A0425">
      <w:rPr>
        <w:rStyle w:val="PageNumber"/>
        <w:rFonts w:cs="Arial"/>
        <w:noProof/>
        <w:sz w:val="16"/>
      </w:rPr>
      <w:t>1</w:t>
    </w:r>
    <w:r w:rsidRPr="001D1991">
      <w:rPr>
        <w:rStyle w:val="PageNumber"/>
        <w:rFonts w:cs="Arial"/>
        <w:sz w:val="16"/>
      </w:rPr>
      <w:fldChar w:fldCharType="end"/>
    </w:r>
    <w:r w:rsidRPr="001D1991">
      <w:rPr>
        <w:rStyle w:val="PageNumber"/>
        <w:rFonts w:cs="Arial"/>
        <w:sz w:val="16"/>
      </w:rPr>
      <w:t xml:space="preserve"> of </w:t>
    </w:r>
    <w:r w:rsidRPr="001D1991">
      <w:rPr>
        <w:rStyle w:val="PageNumber"/>
        <w:rFonts w:cs="Arial"/>
        <w:sz w:val="16"/>
      </w:rPr>
      <w:fldChar w:fldCharType="begin"/>
    </w:r>
    <w:r w:rsidRPr="001D1991">
      <w:rPr>
        <w:rStyle w:val="PageNumber"/>
        <w:rFonts w:cs="Arial"/>
        <w:sz w:val="16"/>
      </w:rPr>
      <w:instrText xml:space="preserve"> NUMPAGES </w:instrText>
    </w:r>
    <w:r w:rsidRPr="001D1991">
      <w:rPr>
        <w:rStyle w:val="PageNumber"/>
        <w:rFonts w:cs="Arial"/>
        <w:sz w:val="16"/>
      </w:rPr>
      <w:fldChar w:fldCharType="separate"/>
    </w:r>
    <w:r w:rsidR="005A0425">
      <w:rPr>
        <w:rStyle w:val="PageNumber"/>
        <w:rFonts w:cs="Arial"/>
        <w:noProof/>
        <w:sz w:val="16"/>
      </w:rPr>
      <w:t>8</w:t>
    </w:r>
    <w:r w:rsidRPr="001D1991">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182F" w14:textId="77777777" w:rsidR="00B33CA1" w:rsidRDefault="00B33CA1" w:rsidP="00B1138C">
      <w:r>
        <w:separator/>
      </w:r>
    </w:p>
  </w:footnote>
  <w:footnote w:type="continuationSeparator" w:id="0">
    <w:p w14:paraId="2093EF12" w14:textId="77777777" w:rsidR="00B33CA1" w:rsidRDefault="00B33CA1" w:rsidP="00B1138C">
      <w:r>
        <w:continuationSeparator/>
      </w:r>
    </w:p>
  </w:footnote>
  <w:footnote w:type="continuationNotice" w:id="1">
    <w:p w14:paraId="572C2B90" w14:textId="77777777" w:rsidR="00B33CA1" w:rsidRDefault="00B33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C697" w14:textId="024F8532" w:rsidR="00CC63E9" w:rsidRDefault="00E12A24" w:rsidP="003027AD">
    <w:pPr>
      <w:pStyle w:val="Header"/>
      <w:tabs>
        <w:tab w:val="left" w:pos="6821"/>
      </w:tabs>
      <w:ind w:right="-141"/>
      <w:jc w:val="right"/>
    </w:pPr>
    <w:r>
      <w:tab/>
    </w:r>
    <w:r>
      <w:tab/>
    </w:r>
    <w:r>
      <w:tab/>
      <w:t xml:space="preserve">   </w:t>
    </w:r>
    <w:r w:rsidR="00C36CE3">
      <w:rPr>
        <w:noProof/>
      </w:rPr>
      <w:drawing>
        <wp:inline distT="0" distB="0" distL="0" distR="0" wp14:anchorId="046406CA" wp14:editId="5C6E55E4">
          <wp:extent cx="1966718" cy="882869"/>
          <wp:effectExtent l="0" t="0" r="1905" b="635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8059" cy="932850"/>
                  </a:xfrm>
                  <a:prstGeom prst="rect">
                    <a:avLst/>
                  </a:prstGeom>
                </pic:spPr>
              </pic:pic>
            </a:graphicData>
          </a:graphic>
        </wp:inline>
      </w:drawing>
    </w:r>
  </w:p>
  <w:p w14:paraId="15393F8E" w14:textId="77777777" w:rsidR="00C36CE3" w:rsidRDefault="00C36C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DD8"/>
    <w:multiLevelType w:val="hybridMultilevel"/>
    <w:tmpl w:val="59883C4A"/>
    <w:lvl w:ilvl="0" w:tplc="3794B366">
      <w:start w:val="8"/>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431C4"/>
    <w:multiLevelType w:val="hybridMultilevel"/>
    <w:tmpl w:val="E6E213AA"/>
    <w:lvl w:ilvl="0" w:tplc="253CF7C0">
      <w:start w:val="4"/>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936E1"/>
    <w:multiLevelType w:val="hybridMultilevel"/>
    <w:tmpl w:val="3B3AB30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B1AE3"/>
    <w:multiLevelType w:val="multilevel"/>
    <w:tmpl w:val="2B801EFA"/>
    <w:lvl w:ilvl="0">
      <w:start w:val="1"/>
      <w:numFmt w:val="decimal"/>
      <w:lvlText w:val="%1."/>
      <w:lvlJc w:val="left"/>
      <w:pPr>
        <w:ind w:left="2836" w:hanging="360"/>
      </w:pPr>
      <w:rPr>
        <w:rFonts w:hint="default"/>
        <w:b/>
        <w:bCs/>
      </w:rPr>
    </w:lvl>
    <w:lvl w:ilvl="1">
      <w:start w:val="1"/>
      <w:numFmt w:val="decimal"/>
      <w:isLgl/>
      <w:lvlText w:val="%1.%2"/>
      <w:lvlJc w:val="left"/>
      <w:pPr>
        <w:ind w:left="2836"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3196"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3556" w:hanging="1080"/>
      </w:pPr>
      <w:rPr>
        <w:rFonts w:hint="default"/>
      </w:rPr>
    </w:lvl>
    <w:lvl w:ilvl="6">
      <w:start w:val="1"/>
      <w:numFmt w:val="decimal"/>
      <w:isLgl/>
      <w:lvlText w:val="%1.%2.%3.%4.%5.%6.%7"/>
      <w:lvlJc w:val="left"/>
      <w:pPr>
        <w:ind w:left="3916" w:hanging="1440"/>
      </w:pPr>
      <w:rPr>
        <w:rFonts w:hint="default"/>
      </w:rPr>
    </w:lvl>
    <w:lvl w:ilvl="7">
      <w:start w:val="1"/>
      <w:numFmt w:val="decimal"/>
      <w:isLgl/>
      <w:lvlText w:val="%1.%2.%3.%4.%5.%6.%7.%8"/>
      <w:lvlJc w:val="left"/>
      <w:pPr>
        <w:ind w:left="3916" w:hanging="1440"/>
      </w:pPr>
      <w:rPr>
        <w:rFonts w:hint="default"/>
      </w:rPr>
    </w:lvl>
    <w:lvl w:ilvl="8">
      <w:start w:val="1"/>
      <w:numFmt w:val="decimal"/>
      <w:isLgl/>
      <w:lvlText w:val="%1.%2.%3.%4.%5.%6.%7.%8.%9"/>
      <w:lvlJc w:val="left"/>
      <w:pPr>
        <w:ind w:left="4276" w:hanging="1800"/>
      </w:pPr>
      <w:rPr>
        <w:rFonts w:hint="default"/>
      </w:rPr>
    </w:lvl>
  </w:abstractNum>
  <w:abstractNum w:abstractNumId="4" w15:restartNumberingAfterBreak="0">
    <w:nsid w:val="2E93025F"/>
    <w:multiLevelType w:val="hybridMultilevel"/>
    <w:tmpl w:val="E98A0208"/>
    <w:lvl w:ilvl="0" w:tplc="3738ADE8">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0F69B8"/>
    <w:multiLevelType w:val="multilevel"/>
    <w:tmpl w:val="F9DAA98A"/>
    <w:styleLink w:val="CurrentList1"/>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3B7F493D"/>
    <w:multiLevelType w:val="multilevel"/>
    <w:tmpl w:val="4A061ABA"/>
    <w:lvl w:ilvl="0">
      <w:start w:val="1"/>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3B835F99"/>
    <w:multiLevelType w:val="hybridMultilevel"/>
    <w:tmpl w:val="71A8C5B8"/>
    <w:lvl w:ilvl="0" w:tplc="4926936C">
      <w:start w:val="5"/>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715A7"/>
    <w:multiLevelType w:val="hybridMultilevel"/>
    <w:tmpl w:val="D550F788"/>
    <w:lvl w:ilvl="0" w:tplc="FFFFFFFF">
      <w:start w:val="1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FD6436"/>
    <w:multiLevelType w:val="hybridMultilevel"/>
    <w:tmpl w:val="19FE8E40"/>
    <w:lvl w:ilvl="0" w:tplc="C34A92A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FE0044"/>
    <w:multiLevelType w:val="hybridMultilevel"/>
    <w:tmpl w:val="2746176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22459F"/>
    <w:multiLevelType w:val="multilevel"/>
    <w:tmpl w:val="5D28259A"/>
    <w:lvl w:ilvl="0">
      <w:start w:val="5"/>
      <w:numFmt w:val="decimal"/>
      <w:lvlText w:val="%1."/>
      <w:lvlJc w:val="left"/>
      <w:pPr>
        <w:ind w:left="2836" w:hanging="360"/>
      </w:pPr>
      <w:rPr>
        <w:rFonts w:hint="default"/>
        <w:b/>
        <w:bCs/>
      </w:rPr>
    </w:lvl>
    <w:lvl w:ilvl="1">
      <w:start w:val="1"/>
      <w:numFmt w:val="decimal"/>
      <w:isLgl/>
      <w:lvlText w:val="%1.%2"/>
      <w:lvlJc w:val="left"/>
      <w:pPr>
        <w:ind w:left="2836"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3196"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3556" w:hanging="1080"/>
      </w:pPr>
      <w:rPr>
        <w:rFonts w:hint="default"/>
      </w:rPr>
    </w:lvl>
    <w:lvl w:ilvl="6">
      <w:start w:val="1"/>
      <w:numFmt w:val="decimal"/>
      <w:isLgl/>
      <w:lvlText w:val="%1.%2.%3.%4.%5.%6.%7"/>
      <w:lvlJc w:val="left"/>
      <w:pPr>
        <w:ind w:left="3916" w:hanging="1440"/>
      </w:pPr>
      <w:rPr>
        <w:rFonts w:hint="default"/>
      </w:rPr>
    </w:lvl>
    <w:lvl w:ilvl="7">
      <w:start w:val="1"/>
      <w:numFmt w:val="decimal"/>
      <w:isLgl/>
      <w:lvlText w:val="%1.%2.%3.%4.%5.%6.%7.%8"/>
      <w:lvlJc w:val="left"/>
      <w:pPr>
        <w:ind w:left="3916" w:hanging="1440"/>
      </w:pPr>
      <w:rPr>
        <w:rFonts w:hint="default"/>
      </w:rPr>
    </w:lvl>
    <w:lvl w:ilvl="8">
      <w:start w:val="1"/>
      <w:numFmt w:val="decimal"/>
      <w:isLgl/>
      <w:lvlText w:val="%1.%2.%3.%4.%5.%6.%7.%8.%9"/>
      <w:lvlJc w:val="left"/>
      <w:pPr>
        <w:ind w:left="4276" w:hanging="1800"/>
      </w:pPr>
      <w:rPr>
        <w:rFonts w:hint="default"/>
      </w:rPr>
    </w:lvl>
  </w:abstractNum>
  <w:abstractNum w:abstractNumId="12" w15:restartNumberingAfterBreak="0">
    <w:nsid w:val="6FA736B6"/>
    <w:multiLevelType w:val="hybridMultilevel"/>
    <w:tmpl w:val="D550F788"/>
    <w:lvl w:ilvl="0" w:tplc="0809000F">
      <w:start w:val="1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01476C"/>
    <w:multiLevelType w:val="hybridMultilevel"/>
    <w:tmpl w:val="2E142834"/>
    <w:lvl w:ilvl="0" w:tplc="B992CE20">
      <w:start w:val="1"/>
      <w:numFmt w:val="decimal"/>
      <w:lvlText w:val="%1."/>
      <w:lvlJc w:val="left"/>
      <w:pPr>
        <w:ind w:left="360" w:hanging="360"/>
      </w:pPr>
      <w:rPr>
        <w:rFonts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E272FA"/>
    <w:multiLevelType w:val="hybridMultilevel"/>
    <w:tmpl w:val="6E1EF79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DB37CCC"/>
    <w:multiLevelType w:val="hybridMultilevel"/>
    <w:tmpl w:val="020CF0A8"/>
    <w:lvl w:ilvl="0" w:tplc="FA948558">
      <w:start w:val="1"/>
      <w:numFmt w:val="decimal"/>
      <w:lvlText w:val="%1."/>
      <w:lvlJc w:val="left"/>
      <w:pPr>
        <w:tabs>
          <w:tab w:val="num" w:pos="360"/>
        </w:tabs>
        <w:ind w:left="360" w:hanging="360"/>
      </w:pPr>
      <w:rPr>
        <w:rFonts w:hint="default"/>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03068122">
    <w:abstractNumId w:val="4"/>
  </w:num>
  <w:num w:numId="2" w16cid:durableId="1902784380">
    <w:abstractNumId w:val="15"/>
  </w:num>
  <w:num w:numId="3" w16cid:durableId="1863470511">
    <w:abstractNumId w:val="6"/>
  </w:num>
  <w:num w:numId="4" w16cid:durableId="155414715">
    <w:abstractNumId w:val="14"/>
  </w:num>
  <w:num w:numId="5" w16cid:durableId="213272358">
    <w:abstractNumId w:val="13"/>
  </w:num>
  <w:num w:numId="6" w16cid:durableId="1330525698">
    <w:abstractNumId w:val="3"/>
  </w:num>
  <w:num w:numId="7" w16cid:durableId="1402366166">
    <w:abstractNumId w:val="12"/>
  </w:num>
  <w:num w:numId="8" w16cid:durableId="1649361198">
    <w:abstractNumId w:val="8"/>
  </w:num>
  <w:num w:numId="9" w16cid:durableId="2143303504">
    <w:abstractNumId w:val="5"/>
  </w:num>
  <w:num w:numId="10" w16cid:durableId="467434365">
    <w:abstractNumId w:val="7"/>
  </w:num>
  <w:num w:numId="11" w16cid:durableId="217011822">
    <w:abstractNumId w:val="10"/>
  </w:num>
  <w:num w:numId="12" w16cid:durableId="411926287">
    <w:abstractNumId w:val="9"/>
  </w:num>
  <w:num w:numId="13" w16cid:durableId="472524961">
    <w:abstractNumId w:val="0"/>
  </w:num>
  <w:num w:numId="14" w16cid:durableId="1851338387">
    <w:abstractNumId w:val="2"/>
  </w:num>
  <w:num w:numId="15" w16cid:durableId="54360165">
    <w:abstractNumId w:val="1"/>
  </w:num>
  <w:num w:numId="16" w16cid:durableId="2044356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AF"/>
    <w:rsid w:val="00002219"/>
    <w:rsid w:val="00010DEA"/>
    <w:rsid w:val="00011C7E"/>
    <w:rsid w:val="000136DF"/>
    <w:rsid w:val="0001744C"/>
    <w:rsid w:val="00020B4D"/>
    <w:rsid w:val="000261A8"/>
    <w:rsid w:val="00030B48"/>
    <w:rsid w:val="00031620"/>
    <w:rsid w:val="00035A19"/>
    <w:rsid w:val="000421CC"/>
    <w:rsid w:val="000432D6"/>
    <w:rsid w:val="00043679"/>
    <w:rsid w:val="00046204"/>
    <w:rsid w:val="000462D4"/>
    <w:rsid w:val="00046A38"/>
    <w:rsid w:val="00047023"/>
    <w:rsid w:val="000511E0"/>
    <w:rsid w:val="000531EA"/>
    <w:rsid w:val="00057550"/>
    <w:rsid w:val="00064102"/>
    <w:rsid w:val="00064280"/>
    <w:rsid w:val="00064672"/>
    <w:rsid w:val="00072394"/>
    <w:rsid w:val="00073FCE"/>
    <w:rsid w:val="00080E35"/>
    <w:rsid w:val="00084DD1"/>
    <w:rsid w:val="000852BD"/>
    <w:rsid w:val="00086657"/>
    <w:rsid w:val="00093934"/>
    <w:rsid w:val="0009526B"/>
    <w:rsid w:val="000952FC"/>
    <w:rsid w:val="000A2F96"/>
    <w:rsid w:val="000A6F81"/>
    <w:rsid w:val="000A7B01"/>
    <w:rsid w:val="000B010C"/>
    <w:rsid w:val="000B2F35"/>
    <w:rsid w:val="000C0A46"/>
    <w:rsid w:val="000C6F8E"/>
    <w:rsid w:val="000C7CEC"/>
    <w:rsid w:val="000D0C83"/>
    <w:rsid w:val="000D1005"/>
    <w:rsid w:val="000D119B"/>
    <w:rsid w:val="000D22C5"/>
    <w:rsid w:val="000D2770"/>
    <w:rsid w:val="000F027C"/>
    <w:rsid w:val="000F4539"/>
    <w:rsid w:val="000F501A"/>
    <w:rsid w:val="00105900"/>
    <w:rsid w:val="00117EEB"/>
    <w:rsid w:val="00123EFD"/>
    <w:rsid w:val="00124B66"/>
    <w:rsid w:val="00124DA8"/>
    <w:rsid w:val="00130CB8"/>
    <w:rsid w:val="00133904"/>
    <w:rsid w:val="0014128D"/>
    <w:rsid w:val="00150B6A"/>
    <w:rsid w:val="0015324B"/>
    <w:rsid w:val="00154F5A"/>
    <w:rsid w:val="001553D1"/>
    <w:rsid w:val="00156108"/>
    <w:rsid w:val="001665D9"/>
    <w:rsid w:val="001720EE"/>
    <w:rsid w:val="00175D48"/>
    <w:rsid w:val="00184693"/>
    <w:rsid w:val="00190074"/>
    <w:rsid w:val="001900CE"/>
    <w:rsid w:val="00194A4E"/>
    <w:rsid w:val="0019519C"/>
    <w:rsid w:val="001968BD"/>
    <w:rsid w:val="001B33E3"/>
    <w:rsid w:val="001B4A94"/>
    <w:rsid w:val="001B5CC3"/>
    <w:rsid w:val="001C222B"/>
    <w:rsid w:val="001C6C5D"/>
    <w:rsid w:val="001C7176"/>
    <w:rsid w:val="001C7884"/>
    <w:rsid w:val="001D019B"/>
    <w:rsid w:val="001D0269"/>
    <w:rsid w:val="001D1991"/>
    <w:rsid w:val="001E44D6"/>
    <w:rsid w:val="001E6A97"/>
    <w:rsid w:val="001E71FC"/>
    <w:rsid w:val="001F4323"/>
    <w:rsid w:val="001F452B"/>
    <w:rsid w:val="00201CE1"/>
    <w:rsid w:val="00207891"/>
    <w:rsid w:val="00211040"/>
    <w:rsid w:val="00211FF4"/>
    <w:rsid w:val="00213292"/>
    <w:rsid w:val="00215C66"/>
    <w:rsid w:val="00216406"/>
    <w:rsid w:val="00220E4F"/>
    <w:rsid w:val="00227878"/>
    <w:rsid w:val="00227A53"/>
    <w:rsid w:val="00232F70"/>
    <w:rsid w:val="002340CA"/>
    <w:rsid w:val="002347F5"/>
    <w:rsid w:val="002401F6"/>
    <w:rsid w:val="00242961"/>
    <w:rsid w:val="002517B0"/>
    <w:rsid w:val="002536B8"/>
    <w:rsid w:val="00265817"/>
    <w:rsid w:val="00275607"/>
    <w:rsid w:val="00282205"/>
    <w:rsid w:val="00286F9E"/>
    <w:rsid w:val="00295FE5"/>
    <w:rsid w:val="002B1EB4"/>
    <w:rsid w:val="002B34BD"/>
    <w:rsid w:val="002B6C4C"/>
    <w:rsid w:val="002C6CC0"/>
    <w:rsid w:val="002D09F5"/>
    <w:rsid w:val="002D2C49"/>
    <w:rsid w:val="002D5B26"/>
    <w:rsid w:val="002D7BE2"/>
    <w:rsid w:val="002E397A"/>
    <w:rsid w:val="002F0805"/>
    <w:rsid w:val="002F5044"/>
    <w:rsid w:val="00301490"/>
    <w:rsid w:val="003019E5"/>
    <w:rsid w:val="003027AD"/>
    <w:rsid w:val="00305922"/>
    <w:rsid w:val="00312F17"/>
    <w:rsid w:val="0031523F"/>
    <w:rsid w:val="00315F27"/>
    <w:rsid w:val="00316D55"/>
    <w:rsid w:val="003262D3"/>
    <w:rsid w:val="00332984"/>
    <w:rsid w:val="00361EBD"/>
    <w:rsid w:val="003639D1"/>
    <w:rsid w:val="00366A2D"/>
    <w:rsid w:val="003672D4"/>
    <w:rsid w:val="00372360"/>
    <w:rsid w:val="00372994"/>
    <w:rsid w:val="00381212"/>
    <w:rsid w:val="00394589"/>
    <w:rsid w:val="00394F06"/>
    <w:rsid w:val="003A127E"/>
    <w:rsid w:val="003A3EE3"/>
    <w:rsid w:val="003B333A"/>
    <w:rsid w:val="003B345E"/>
    <w:rsid w:val="003C1988"/>
    <w:rsid w:val="003C1BA2"/>
    <w:rsid w:val="003C3C52"/>
    <w:rsid w:val="003E20DE"/>
    <w:rsid w:val="003E37F4"/>
    <w:rsid w:val="003F0DBD"/>
    <w:rsid w:val="003F1C08"/>
    <w:rsid w:val="003F542E"/>
    <w:rsid w:val="003F6EC5"/>
    <w:rsid w:val="0040429E"/>
    <w:rsid w:val="00404D78"/>
    <w:rsid w:val="004062BA"/>
    <w:rsid w:val="00406D30"/>
    <w:rsid w:val="004074A2"/>
    <w:rsid w:val="004125F9"/>
    <w:rsid w:val="00413B41"/>
    <w:rsid w:val="00420A0C"/>
    <w:rsid w:val="00421527"/>
    <w:rsid w:val="00422B92"/>
    <w:rsid w:val="0042566D"/>
    <w:rsid w:val="00432BC8"/>
    <w:rsid w:val="004372B3"/>
    <w:rsid w:val="00442E49"/>
    <w:rsid w:val="00443E54"/>
    <w:rsid w:val="00451A57"/>
    <w:rsid w:val="00453169"/>
    <w:rsid w:val="00455F60"/>
    <w:rsid w:val="00456394"/>
    <w:rsid w:val="00460AD4"/>
    <w:rsid w:val="00463163"/>
    <w:rsid w:val="0046377B"/>
    <w:rsid w:val="004641E8"/>
    <w:rsid w:val="00472F29"/>
    <w:rsid w:val="004740FD"/>
    <w:rsid w:val="00474E89"/>
    <w:rsid w:val="00481317"/>
    <w:rsid w:val="0048199D"/>
    <w:rsid w:val="004908FD"/>
    <w:rsid w:val="00496DB7"/>
    <w:rsid w:val="004A193E"/>
    <w:rsid w:val="004A3505"/>
    <w:rsid w:val="004A3EBF"/>
    <w:rsid w:val="004A4D0B"/>
    <w:rsid w:val="004A561A"/>
    <w:rsid w:val="004B198F"/>
    <w:rsid w:val="004B5C27"/>
    <w:rsid w:val="004B7F40"/>
    <w:rsid w:val="004D15B0"/>
    <w:rsid w:val="004D19D0"/>
    <w:rsid w:val="004D2D7F"/>
    <w:rsid w:val="004D3DA4"/>
    <w:rsid w:val="004E1FDA"/>
    <w:rsid w:val="004F6CAA"/>
    <w:rsid w:val="00503973"/>
    <w:rsid w:val="00504FEB"/>
    <w:rsid w:val="005060CF"/>
    <w:rsid w:val="00510E5A"/>
    <w:rsid w:val="00512475"/>
    <w:rsid w:val="00520F34"/>
    <w:rsid w:val="0052265A"/>
    <w:rsid w:val="00524F12"/>
    <w:rsid w:val="00526EFE"/>
    <w:rsid w:val="00527F26"/>
    <w:rsid w:val="00531139"/>
    <w:rsid w:val="005338D2"/>
    <w:rsid w:val="005378C9"/>
    <w:rsid w:val="00541AB9"/>
    <w:rsid w:val="00542631"/>
    <w:rsid w:val="0054330E"/>
    <w:rsid w:val="005606A3"/>
    <w:rsid w:val="00561BCC"/>
    <w:rsid w:val="00574D18"/>
    <w:rsid w:val="005758A4"/>
    <w:rsid w:val="00583608"/>
    <w:rsid w:val="00583E08"/>
    <w:rsid w:val="00585ED0"/>
    <w:rsid w:val="005869E8"/>
    <w:rsid w:val="00595165"/>
    <w:rsid w:val="005961A9"/>
    <w:rsid w:val="005969B5"/>
    <w:rsid w:val="005A0425"/>
    <w:rsid w:val="005A0972"/>
    <w:rsid w:val="005A6B5F"/>
    <w:rsid w:val="005C067E"/>
    <w:rsid w:val="005C0EA9"/>
    <w:rsid w:val="005C142C"/>
    <w:rsid w:val="005C39E9"/>
    <w:rsid w:val="005C6AFE"/>
    <w:rsid w:val="005C7A1F"/>
    <w:rsid w:val="005D1432"/>
    <w:rsid w:val="005D42EF"/>
    <w:rsid w:val="005D4F37"/>
    <w:rsid w:val="005E1B7F"/>
    <w:rsid w:val="005E66E5"/>
    <w:rsid w:val="005E6A01"/>
    <w:rsid w:val="005F6386"/>
    <w:rsid w:val="006026A0"/>
    <w:rsid w:val="0060408F"/>
    <w:rsid w:val="00607156"/>
    <w:rsid w:val="00607D4C"/>
    <w:rsid w:val="006108B1"/>
    <w:rsid w:val="00612A62"/>
    <w:rsid w:val="006149A2"/>
    <w:rsid w:val="0061690E"/>
    <w:rsid w:val="00617DE0"/>
    <w:rsid w:val="0062029B"/>
    <w:rsid w:val="00621EAD"/>
    <w:rsid w:val="006239AA"/>
    <w:rsid w:val="00625937"/>
    <w:rsid w:val="00626E36"/>
    <w:rsid w:val="006328C6"/>
    <w:rsid w:val="00637F58"/>
    <w:rsid w:val="006409AA"/>
    <w:rsid w:val="00645FCF"/>
    <w:rsid w:val="0065044B"/>
    <w:rsid w:val="00651C3D"/>
    <w:rsid w:val="00654B96"/>
    <w:rsid w:val="0065746A"/>
    <w:rsid w:val="00662A5C"/>
    <w:rsid w:val="00663AC0"/>
    <w:rsid w:val="006740A8"/>
    <w:rsid w:val="00675ADE"/>
    <w:rsid w:val="00685F3F"/>
    <w:rsid w:val="0069186F"/>
    <w:rsid w:val="006924F0"/>
    <w:rsid w:val="006961CD"/>
    <w:rsid w:val="00696DDD"/>
    <w:rsid w:val="006A02CA"/>
    <w:rsid w:val="006A1682"/>
    <w:rsid w:val="006A36E1"/>
    <w:rsid w:val="006A5702"/>
    <w:rsid w:val="006A7B99"/>
    <w:rsid w:val="006B0575"/>
    <w:rsid w:val="006B159B"/>
    <w:rsid w:val="006B646B"/>
    <w:rsid w:val="006B7120"/>
    <w:rsid w:val="006C3AA1"/>
    <w:rsid w:val="006C68BA"/>
    <w:rsid w:val="006D2393"/>
    <w:rsid w:val="006D2E0A"/>
    <w:rsid w:val="006D4EF3"/>
    <w:rsid w:val="006D616E"/>
    <w:rsid w:val="006E0232"/>
    <w:rsid w:val="006E408C"/>
    <w:rsid w:val="006F22DF"/>
    <w:rsid w:val="006F5C5E"/>
    <w:rsid w:val="00702603"/>
    <w:rsid w:val="00721F99"/>
    <w:rsid w:val="00727312"/>
    <w:rsid w:val="00732873"/>
    <w:rsid w:val="007377A4"/>
    <w:rsid w:val="00737E4C"/>
    <w:rsid w:val="00744329"/>
    <w:rsid w:val="00747EBB"/>
    <w:rsid w:val="00752459"/>
    <w:rsid w:val="00767410"/>
    <w:rsid w:val="00781BD5"/>
    <w:rsid w:val="00793743"/>
    <w:rsid w:val="007A2278"/>
    <w:rsid w:val="007A2406"/>
    <w:rsid w:val="007A58CB"/>
    <w:rsid w:val="007B631E"/>
    <w:rsid w:val="007C08EF"/>
    <w:rsid w:val="007C1C9B"/>
    <w:rsid w:val="007C3600"/>
    <w:rsid w:val="007C7A98"/>
    <w:rsid w:val="007D0A25"/>
    <w:rsid w:val="007D1CFA"/>
    <w:rsid w:val="007D42A3"/>
    <w:rsid w:val="007D49BB"/>
    <w:rsid w:val="007D4B1B"/>
    <w:rsid w:val="007D57A1"/>
    <w:rsid w:val="007D62A2"/>
    <w:rsid w:val="007E1386"/>
    <w:rsid w:val="007E5195"/>
    <w:rsid w:val="007E6C31"/>
    <w:rsid w:val="007F08E5"/>
    <w:rsid w:val="00802963"/>
    <w:rsid w:val="00810C0E"/>
    <w:rsid w:val="00815784"/>
    <w:rsid w:val="008238A7"/>
    <w:rsid w:val="00831F8E"/>
    <w:rsid w:val="00833A18"/>
    <w:rsid w:val="00834D9C"/>
    <w:rsid w:val="00842810"/>
    <w:rsid w:val="00842ABC"/>
    <w:rsid w:val="00844CF8"/>
    <w:rsid w:val="0085057A"/>
    <w:rsid w:val="008509F6"/>
    <w:rsid w:val="00852119"/>
    <w:rsid w:val="0086341F"/>
    <w:rsid w:val="00867766"/>
    <w:rsid w:val="00875C82"/>
    <w:rsid w:val="00877366"/>
    <w:rsid w:val="008809D5"/>
    <w:rsid w:val="0088433B"/>
    <w:rsid w:val="00886FC8"/>
    <w:rsid w:val="0089115D"/>
    <w:rsid w:val="00894006"/>
    <w:rsid w:val="008A21C3"/>
    <w:rsid w:val="008A302E"/>
    <w:rsid w:val="008B489E"/>
    <w:rsid w:val="008C01F4"/>
    <w:rsid w:val="008C36CB"/>
    <w:rsid w:val="008C4FD9"/>
    <w:rsid w:val="008D6F64"/>
    <w:rsid w:val="008E211D"/>
    <w:rsid w:val="008E4B3D"/>
    <w:rsid w:val="008F53E1"/>
    <w:rsid w:val="008F5615"/>
    <w:rsid w:val="009003CD"/>
    <w:rsid w:val="00900F7D"/>
    <w:rsid w:val="00905487"/>
    <w:rsid w:val="00905596"/>
    <w:rsid w:val="00907C92"/>
    <w:rsid w:val="00912DDA"/>
    <w:rsid w:val="00914B33"/>
    <w:rsid w:val="009163DB"/>
    <w:rsid w:val="009169C1"/>
    <w:rsid w:val="00924A57"/>
    <w:rsid w:val="009308B4"/>
    <w:rsid w:val="00931398"/>
    <w:rsid w:val="009349BA"/>
    <w:rsid w:val="009357B2"/>
    <w:rsid w:val="00936E6D"/>
    <w:rsid w:val="009465E1"/>
    <w:rsid w:val="009475AC"/>
    <w:rsid w:val="009543EB"/>
    <w:rsid w:val="00962C3F"/>
    <w:rsid w:val="00970E93"/>
    <w:rsid w:val="00972265"/>
    <w:rsid w:val="00976C58"/>
    <w:rsid w:val="00986F15"/>
    <w:rsid w:val="009903CE"/>
    <w:rsid w:val="00992A5A"/>
    <w:rsid w:val="00997566"/>
    <w:rsid w:val="009B759E"/>
    <w:rsid w:val="009C37C6"/>
    <w:rsid w:val="009C7F84"/>
    <w:rsid w:val="009D3BC1"/>
    <w:rsid w:val="009D45C9"/>
    <w:rsid w:val="009D5183"/>
    <w:rsid w:val="009D536E"/>
    <w:rsid w:val="009D6970"/>
    <w:rsid w:val="009E09F0"/>
    <w:rsid w:val="009E0B27"/>
    <w:rsid w:val="009E0CDD"/>
    <w:rsid w:val="009E32B9"/>
    <w:rsid w:val="009F7F40"/>
    <w:rsid w:val="00A0258A"/>
    <w:rsid w:val="00A10414"/>
    <w:rsid w:val="00A14362"/>
    <w:rsid w:val="00A14B81"/>
    <w:rsid w:val="00A150D6"/>
    <w:rsid w:val="00A156DF"/>
    <w:rsid w:val="00A15C82"/>
    <w:rsid w:val="00A20F66"/>
    <w:rsid w:val="00A20F83"/>
    <w:rsid w:val="00A23B16"/>
    <w:rsid w:val="00A25827"/>
    <w:rsid w:val="00A33EF4"/>
    <w:rsid w:val="00A34DF8"/>
    <w:rsid w:val="00A35FD1"/>
    <w:rsid w:val="00A41C96"/>
    <w:rsid w:val="00A54730"/>
    <w:rsid w:val="00A71F11"/>
    <w:rsid w:val="00A801DD"/>
    <w:rsid w:val="00A85AEE"/>
    <w:rsid w:val="00A86546"/>
    <w:rsid w:val="00A9299D"/>
    <w:rsid w:val="00A95265"/>
    <w:rsid w:val="00AA38C7"/>
    <w:rsid w:val="00AB274D"/>
    <w:rsid w:val="00AB3F2C"/>
    <w:rsid w:val="00AB4ED9"/>
    <w:rsid w:val="00AC0159"/>
    <w:rsid w:val="00AC4A97"/>
    <w:rsid w:val="00AC6572"/>
    <w:rsid w:val="00AD38F9"/>
    <w:rsid w:val="00AD4E56"/>
    <w:rsid w:val="00AD632A"/>
    <w:rsid w:val="00AD6C6C"/>
    <w:rsid w:val="00AE5B4E"/>
    <w:rsid w:val="00AE5F82"/>
    <w:rsid w:val="00AF4452"/>
    <w:rsid w:val="00B01BFC"/>
    <w:rsid w:val="00B0517E"/>
    <w:rsid w:val="00B10854"/>
    <w:rsid w:val="00B11292"/>
    <w:rsid w:val="00B1138C"/>
    <w:rsid w:val="00B12167"/>
    <w:rsid w:val="00B13DAB"/>
    <w:rsid w:val="00B174D9"/>
    <w:rsid w:val="00B17831"/>
    <w:rsid w:val="00B17953"/>
    <w:rsid w:val="00B312BD"/>
    <w:rsid w:val="00B31CD5"/>
    <w:rsid w:val="00B32F8D"/>
    <w:rsid w:val="00B33CA1"/>
    <w:rsid w:val="00B422B1"/>
    <w:rsid w:val="00B46C39"/>
    <w:rsid w:val="00B5659E"/>
    <w:rsid w:val="00B61097"/>
    <w:rsid w:val="00B65F33"/>
    <w:rsid w:val="00B82734"/>
    <w:rsid w:val="00B833A2"/>
    <w:rsid w:val="00B84658"/>
    <w:rsid w:val="00B87A88"/>
    <w:rsid w:val="00B96A91"/>
    <w:rsid w:val="00BA21B4"/>
    <w:rsid w:val="00BB0436"/>
    <w:rsid w:val="00BB63E5"/>
    <w:rsid w:val="00BB6C47"/>
    <w:rsid w:val="00BB730F"/>
    <w:rsid w:val="00BB7E14"/>
    <w:rsid w:val="00BC03B7"/>
    <w:rsid w:val="00BC1F8C"/>
    <w:rsid w:val="00BC7625"/>
    <w:rsid w:val="00BD5055"/>
    <w:rsid w:val="00BE03DE"/>
    <w:rsid w:val="00BE1D68"/>
    <w:rsid w:val="00BF7199"/>
    <w:rsid w:val="00C00FCD"/>
    <w:rsid w:val="00C0500F"/>
    <w:rsid w:val="00C050DE"/>
    <w:rsid w:val="00C051A2"/>
    <w:rsid w:val="00C056A8"/>
    <w:rsid w:val="00C10EBE"/>
    <w:rsid w:val="00C13C85"/>
    <w:rsid w:val="00C15C0D"/>
    <w:rsid w:val="00C1721D"/>
    <w:rsid w:val="00C1750B"/>
    <w:rsid w:val="00C218F6"/>
    <w:rsid w:val="00C36CE3"/>
    <w:rsid w:val="00C403B9"/>
    <w:rsid w:val="00C42AE2"/>
    <w:rsid w:val="00C47F35"/>
    <w:rsid w:val="00C62FA9"/>
    <w:rsid w:val="00C65678"/>
    <w:rsid w:val="00C665A7"/>
    <w:rsid w:val="00C674E4"/>
    <w:rsid w:val="00C7152D"/>
    <w:rsid w:val="00C772C8"/>
    <w:rsid w:val="00C81952"/>
    <w:rsid w:val="00C8344F"/>
    <w:rsid w:val="00C852B2"/>
    <w:rsid w:val="00C8663B"/>
    <w:rsid w:val="00C86FA4"/>
    <w:rsid w:val="00C877DA"/>
    <w:rsid w:val="00CA38C2"/>
    <w:rsid w:val="00CA60E6"/>
    <w:rsid w:val="00CA6A0D"/>
    <w:rsid w:val="00CB5EA1"/>
    <w:rsid w:val="00CC02B1"/>
    <w:rsid w:val="00CC52C1"/>
    <w:rsid w:val="00CC63E9"/>
    <w:rsid w:val="00CD24BC"/>
    <w:rsid w:val="00CD57B7"/>
    <w:rsid w:val="00CD6062"/>
    <w:rsid w:val="00CE0BEC"/>
    <w:rsid w:val="00CE4566"/>
    <w:rsid w:val="00D00710"/>
    <w:rsid w:val="00D0198C"/>
    <w:rsid w:val="00D02C76"/>
    <w:rsid w:val="00D0328C"/>
    <w:rsid w:val="00D03B65"/>
    <w:rsid w:val="00D06560"/>
    <w:rsid w:val="00D12A58"/>
    <w:rsid w:val="00D230DE"/>
    <w:rsid w:val="00D405EA"/>
    <w:rsid w:val="00D432F9"/>
    <w:rsid w:val="00D43C4B"/>
    <w:rsid w:val="00D444EB"/>
    <w:rsid w:val="00D518D7"/>
    <w:rsid w:val="00D57110"/>
    <w:rsid w:val="00D622F8"/>
    <w:rsid w:val="00D63068"/>
    <w:rsid w:val="00D75C6B"/>
    <w:rsid w:val="00D76C6C"/>
    <w:rsid w:val="00D76F77"/>
    <w:rsid w:val="00D775FA"/>
    <w:rsid w:val="00D87CE5"/>
    <w:rsid w:val="00D91706"/>
    <w:rsid w:val="00D92492"/>
    <w:rsid w:val="00D94645"/>
    <w:rsid w:val="00DA315D"/>
    <w:rsid w:val="00DA474F"/>
    <w:rsid w:val="00DA5E8A"/>
    <w:rsid w:val="00DB565D"/>
    <w:rsid w:val="00DB7688"/>
    <w:rsid w:val="00DC3C16"/>
    <w:rsid w:val="00DC7A14"/>
    <w:rsid w:val="00DD36DE"/>
    <w:rsid w:val="00DD629C"/>
    <w:rsid w:val="00DE104B"/>
    <w:rsid w:val="00DE59EC"/>
    <w:rsid w:val="00DE7831"/>
    <w:rsid w:val="00DF4CD7"/>
    <w:rsid w:val="00E00647"/>
    <w:rsid w:val="00E00D37"/>
    <w:rsid w:val="00E01A2F"/>
    <w:rsid w:val="00E05ED6"/>
    <w:rsid w:val="00E11D1D"/>
    <w:rsid w:val="00E126BE"/>
    <w:rsid w:val="00E12A24"/>
    <w:rsid w:val="00E15A59"/>
    <w:rsid w:val="00E15AA7"/>
    <w:rsid w:val="00E20820"/>
    <w:rsid w:val="00E400D9"/>
    <w:rsid w:val="00E46B5B"/>
    <w:rsid w:val="00E5242A"/>
    <w:rsid w:val="00E56820"/>
    <w:rsid w:val="00E60160"/>
    <w:rsid w:val="00E6346D"/>
    <w:rsid w:val="00E7162E"/>
    <w:rsid w:val="00E72143"/>
    <w:rsid w:val="00E7777E"/>
    <w:rsid w:val="00E778AF"/>
    <w:rsid w:val="00E8080A"/>
    <w:rsid w:val="00E81E40"/>
    <w:rsid w:val="00E918A0"/>
    <w:rsid w:val="00E92A9D"/>
    <w:rsid w:val="00EA2761"/>
    <w:rsid w:val="00EA3AEB"/>
    <w:rsid w:val="00EA5403"/>
    <w:rsid w:val="00EA5588"/>
    <w:rsid w:val="00EB01E2"/>
    <w:rsid w:val="00EB2C13"/>
    <w:rsid w:val="00EB58DE"/>
    <w:rsid w:val="00EB76E8"/>
    <w:rsid w:val="00EC280B"/>
    <w:rsid w:val="00EC36A6"/>
    <w:rsid w:val="00EC48B3"/>
    <w:rsid w:val="00EC7523"/>
    <w:rsid w:val="00EC754D"/>
    <w:rsid w:val="00ED15FA"/>
    <w:rsid w:val="00ED3AFA"/>
    <w:rsid w:val="00ED7C64"/>
    <w:rsid w:val="00EE260E"/>
    <w:rsid w:val="00EE397E"/>
    <w:rsid w:val="00EE60DF"/>
    <w:rsid w:val="00EE7381"/>
    <w:rsid w:val="00EF4686"/>
    <w:rsid w:val="00F01738"/>
    <w:rsid w:val="00F045B9"/>
    <w:rsid w:val="00F0504D"/>
    <w:rsid w:val="00F24C2F"/>
    <w:rsid w:val="00F30DF8"/>
    <w:rsid w:val="00F347D8"/>
    <w:rsid w:val="00F35469"/>
    <w:rsid w:val="00F35A04"/>
    <w:rsid w:val="00F35D3E"/>
    <w:rsid w:val="00F37662"/>
    <w:rsid w:val="00F4034A"/>
    <w:rsid w:val="00F40DDB"/>
    <w:rsid w:val="00F413B7"/>
    <w:rsid w:val="00F42991"/>
    <w:rsid w:val="00F52B36"/>
    <w:rsid w:val="00F54A8F"/>
    <w:rsid w:val="00F55FF7"/>
    <w:rsid w:val="00F56B2E"/>
    <w:rsid w:val="00F7068F"/>
    <w:rsid w:val="00F7514F"/>
    <w:rsid w:val="00F80B0D"/>
    <w:rsid w:val="00F811A7"/>
    <w:rsid w:val="00F85142"/>
    <w:rsid w:val="00F93961"/>
    <w:rsid w:val="00FA0C62"/>
    <w:rsid w:val="00FA1170"/>
    <w:rsid w:val="00FA3210"/>
    <w:rsid w:val="00FA7ACD"/>
    <w:rsid w:val="00FB0DB6"/>
    <w:rsid w:val="00FB6237"/>
    <w:rsid w:val="00FB6788"/>
    <w:rsid w:val="00FC68C0"/>
    <w:rsid w:val="00FD0D36"/>
    <w:rsid w:val="00FE28E4"/>
    <w:rsid w:val="00FE391A"/>
    <w:rsid w:val="00FE67F1"/>
    <w:rsid w:val="00FF08ED"/>
    <w:rsid w:val="00FF24B0"/>
    <w:rsid w:val="00FF2F8C"/>
    <w:rsid w:val="00FF34C8"/>
    <w:rsid w:val="00FF415B"/>
    <w:rsid w:val="00FF5D8F"/>
    <w:rsid w:val="0573E873"/>
    <w:rsid w:val="0B801789"/>
    <w:rsid w:val="0D378C40"/>
    <w:rsid w:val="0E768079"/>
    <w:rsid w:val="12557697"/>
    <w:rsid w:val="12BAF857"/>
    <w:rsid w:val="1581A53C"/>
    <w:rsid w:val="16A9FF4B"/>
    <w:rsid w:val="1B4FA822"/>
    <w:rsid w:val="2E09FF2F"/>
    <w:rsid w:val="32C447F5"/>
    <w:rsid w:val="3CC0AF59"/>
    <w:rsid w:val="4032A85E"/>
    <w:rsid w:val="431BBF11"/>
    <w:rsid w:val="4846302F"/>
    <w:rsid w:val="4B21DA65"/>
    <w:rsid w:val="5862C0C9"/>
    <w:rsid w:val="5A1727C9"/>
    <w:rsid w:val="5D43566E"/>
    <w:rsid w:val="624D6B0E"/>
    <w:rsid w:val="6281DA49"/>
    <w:rsid w:val="688B1D2E"/>
    <w:rsid w:val="6F12C5B9"/>
    <w:rsid w:val="77E93E53"/>
    <w:rsid w:val="7E80D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FDA6C"/>
  <w15:chartTrackingRefBased/>
  <w15:docId w15:val="{DBC84736-ECC2-4E2F-8641-A61969AA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C2"/>
    <w:rPr>
      <w:sz w:val="22"/>
      <w:szCs w:val="22"/>
      <w:lang w:eastAsia="en-US"/>
    </w:rPr>
  </w:style>
  <w:style w:type="paragraph" w:styleId="Heading4">
    <w:name w:val="heading 4"/>
    <w:basedOn w:val="Normal"/>
    <w:next w:val="Normal"/>
    <w:link w:val="Heading4Char"/>
    <w:qFormat/>
    <w:rsid w:val="006B0575"/>
    <w:pPr>
      <w:widowControl w:val="0"/>
      <w:autoSpaceDE w:val="0"/>
      <w:autoSpaceDN w:val="0"/>
      <w:adjustRightInd w:val="0"/>
      <w:spacing w:before="100"/>
      <w:ind w:left="677"/>
      <w:outlineLvl w:val="3"/>
    </w:pPr>
    <w:rPr>
      <w:rFonts w:ascii="Open Sans" w:eastAsia="Times New Roman" w:hAnsi="Open Sans" w:cs="Open Sans"/>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35A04"/>
    <w:rPr>
      <w:color w:val="0000FF"/>
      <w:u w:val="single"/>
    </w:rPr>
  </w:style>
  <w:style w:type="paragraph" w:styleId="Header">
    <w:name w:val="header"/>
    <w:basedOn w:val="Normal"/>
    <w:link w:val="HeaderChar"/>
    <w:unhideWhenUsed/>
    <w:rsid w:val="00B1138C"/>
    <w:pPr>
      <w:tabs>
        <w:tab w:val="center" w:pos="4513"/>
        <w:tab w:val="right" w:pos="9026"/>
      </w:tabs>
    </w:pPr>
  </w:style>
  <w:style w:type="character" w:customStyle="1" w:styleId="HeaderChar">
    <w:name w:val="Header Char"/>
    <w:basedOn w:val="DefaultParagraphFont"/>
    <w:link w:val="Header"/>
    <w:uiPriority w:val="99"/>
    <w:rsid w:val="00B1138C"/>
  </w:style>
  <w:style w:type="paragraph" w:styleId="Footer">
    <w:name w:val="footer"/>
    <w:basedOn w:val="Normal"/>
    <w:link w:val="FooterChar"/>
    <w:unhideWhenUsed/>
    <w:rsid w:val="00B1138C"/>
    <w:pPr>
      <w:tabs>
        <w:tab w:val="center" w:pos="4513"/>
        <w:tab w:val="right" w:pos="9026"/>
      </w:tabs>
    </w:pPr>
  </w:style>
  <w:style w:type="character" w:customStyle="1" w:styleId="FooterChar">
    <w:name w:val="Footer Char"/>
    <w:basedOn w:val="DefaultParagraphFont"/>
    <w:link w:val="Footer"/>
    <w:rsid w:val="00B1138C"/>
  </w:style>
  <w:style w:type="character" w:styleId="PageNumber">
    <w:name w:val="page number"/>
    <w:basedOn w:val="DefaultParagraphFont"/>
    <w:semiHidden/>
    <w:rsid w:val="00B1138C"/>
  </w:style>
  <w:style w:type="paragraph" w:styleId="BalloonText">
    <w:name w:val="Balloon Text"/>
    <w:basedOn w:val="Normal"/>
    <w:link w:val="BalloonTextChar"/>
    <w:uiPriority w:val="99"/>
    <w:semiHidden/>
    <w:unhideWhenUsed/>
    <w:rsid w:val="00453169"/>
    <w:rPr>
      <w:rFonts w:ascii="Tahoma" w:hAnsi="Tahoma" w:cs="Tahoma"/>
      <w:sz w:val="16"/>
      <w:szCs w:val="16"/>
    </w:rPr>
  </w:style>
  <w:style w:type="character" w:customStyle="1" w:styleId="BalloonTextChar">
    <w:name w:val="Balloon Text Char"/>
    <w:link w:val="BalloonText"/>
    <w:uiPriority w:val="99"/>
    <w:semiHidden/>
    <w:rsid w:val="00453169"/>
    <w:rPr>
      <w:rFonts w:ascii="Tahoma" w:hAnsi="Tahoma" w:cs="Tahoma"/>
      <w:sz w:val="16"/>
      <w:szCs w:val="16"/>
    </w:rPr>
  </w:style>
  <w:style w:type="character" w:styleId="Strong">
    <w:name w:val="Strong"/>
    <w:uiPriority w:val="22"/>
    <w:qFormat/>
    <w:rsid w:val="00E46B5B"/>
    <w:rPr>
      <w:rFonts w:cs="Times New Roman"/>
      <w:b/>
      <w:bCs/>
    </w:rPr>
  </w:style>
  <w:style w:type="paragraph" w:styleId="ListParagraph">
    <w:name w:val="List Paragraph"/>
    <w:basedOn w:val="Normal"/>
    <w:uiPriority w:val="34"/>
    <w:qFormat/>
    <w:rsid w:val="000D2770"/>
    <w:pPr>
      <w:ind w:left="720"/>
      <w:contextualSpacing/>
    </w:pPr>
    <w:rPr>
      <w:rFonts w:eastAsia="Times New Roman"/>
    </w:rPr>
  </w:style>
  <w:style w:type="paragraph" w:styleId="BodyText">
    <w:name w:val="Body Text"/>
    <w:basedOn w:val="Normal"/>
    <w:link w:val="BodyTextChar"/>
    <w:uiPriority w:val="1"/>
    <w:qFormat/>
    <w:rsid w:val="00E7777E"/>
    <w:pPr>
      <w:autoSpaceDE w:val="0"/>
      <w:autoSpaceDN w:val="0"/>
      <w:adjustRightInd w:val="0"/>
      <w:ind w:left="344" w:hanging="227"/>
    </w:pPr>
    <w:rPr>
      <w:rFonts w:ascii="Frutiger 55 Roman" w:hAnsi="Frutiger 55 Roman" w:cs="Frutiger 55 Roman"/>
      <w:lang w:eastAsia="en-GB"/>
    </w:rPr>
  </w:style>
  <w:style w:type="character" w:customStyle="1" w:styleId="BodyTextChar">
    <w:name w:val="Body Text Char"/>
    <w:link w:val="BodyText"/>
    <w:uiPriority w:val="1"/>
    <w:rsid w:val="00E7777E"/>
    <w:rPr>
      <w:rFonts w:ascii="Frutiger 55 Roman" w:hAnsi="Frutiger 55 Roman" w:cs="Frutiger 55 Roman"/>
      <w:sz w:val="22"/>
      <w:szCs w:val="22"/>
    </w:rPr>
  </w:style>
  <w:style w:type="paragraph" w:customStyle="1" w:styleId="01Textpara">
    <w:name w:val="01 Text para"/>
    <w:basedOn w:val="Normal"/>
    <w:uiPriority w:val="99"/>
    <w:rsid w:val="003A3EE3"/>
    <w:pPr>
      <w:widowControl w:val="0"/>
      <w:suppressAutoHyphens/>
      <w:autoSpaceDE w:val="0"/>
      <w:autoSpaceDN w:val="0"/>
      <w:adjustRightInd w:val="0"/>
      <w:spacing w:before="260" w:line="260" w:lineRule="atLeast"/>
      <w:ind w:left="567"/>
      <w:textAlignment w:val="center"/>
    </w:pPr>
    <w:rPr>
      <w:rFonts w:ascii="Frutiger-Roman" w:eastAsia="Times New Roman" w:hAnsi="Frutiger-Roman" w:cs="Frutiger-Roman"/>
      <w:color w:val="000000"/>
    </w:rPr>
  </w:style>
  <w:style w:type="character" w:customStyle="1" w:styleId="56Italic">
    <w:name w:val="56 Italic"/>
    <w:uiPriority w:val="99"/>
    <w:rsid w:val="007E1386"/>
    <w:rPr>
      <w:rFonts w:ascii="Frutiger-Italic" w:hAnsi="Frutiger-Italic" w:cs="Frutiger-Italic"/>
      <w:i/>
      <w:iCs/>
    </w:rPr>
  </w:style>
  <w:style w:type="character" w:styleId="FollowedHyperlink">
    <w:name w:val="FollowedHyperlink"/>
    <w:uiPriority w:val="99"/>
    <w:semiHidden/>
    <w:unhideWhenUsed/>
    <w:rsid w:val="00031620"/>
    <w:rPr>
      <w:color w:val="800080"/>
      <w:u w:val="single"/>
    </w:rPr>
  </w:style>
  <w:style w:type="character" w:styleId="CommentReference">
    <w:name w:val="annotation reference"/>
    <w:uiPriority w:val="99"/>
    <w:semiHidden/>
    <w:unhideWhenUsed/>
    <w:rsid w:val="00F80B0D"/>
    <w:rPr>
      <w:sz w:val="16"/>
      <w:szCs w:val="16"/>
    </w:rPr>
  </w:style>
  <w:style w:type="paragraph" w:styleId="CommentText">
    <w:name w:val="annotation text"/>
    <w:basedOn w:val="Normal"/>
    <w:link w:val="CommentTextChar"/>
    <w:uiPriority w:val="99"/>
    <w:unhideWhenUsed/>
    <w:rsid w:val="00F80B0D"/>
    <w:rPr>
      <w:sz w:val="20"/>
      <w:szCs w:val="20"/>
    </w:rPr>
  </w:style>
  <w:style w:type="character" w:customStyle="1" w:styleId="CommentTextChar">
    <w:name w:val="Comment Text Char"/>
    <w:link w:val="CommentText"/>
    <w:uiPriority w:val="99"/>
    <w:rsid w:val="00F80B0D"/>
    <w:rPr>
      <w:lang w:eastAsia="en-US"/>
    </w:rPr>
  </w:style>
  <w:style w:type="paragraph" w:styleId="CommentSubject">
    <w:name w:val="annotation subject"/>
    <w:basedOn w:val="CommentText"/>
    <w:next w:val="CommentText"/>
    <w:link w:val="CommentSubjectChar"/>
    <w:uiPriority w:val="99"/>
    <w:semiHidden/>
    <w:unhideWhenUsed/>
    <w:rsid w:val="00F80B0D"/>
    <w:rPr>
      <w:b/>
      <w:bCs/>
    </w:rPr>
  </w:style>
  <w:style w:type="character" w:customStyle="1" w:styleId="CommentSubjectChar">
    <w:name w:val="Comment Subject Char"/>
    <w:link w:val="CommentSubject"/>
    <w:uiPriority w:val="99"/>
    <w:semiHidden/>
    <w:rsid w:val="00F80B0D"/>
    <w:rPr>
      <w:b/>
      <w:bCs/>
      <w:lang w:eastAsia="en-US"/>
    </w:rPr>
  </w:style>
  <w:style w:type="paragraph" w:styleId="Revision">
    <w:name w:val="Revision"/>
    <w:hidden/>
    <w:uiPriority w:val="99"/>
    <w:semiHidden/>
    <w:rsid w:val="008809D5"/>
    <w:rPr>
      <w:sz w:val="22"/>
      <w:szCs w:val="22"/>
      <w:lang w:eastAsia="en-US"/>
    </w:rPr>
  </w:style>
  <w:style w:type="character" w:customStyle="1" w:styleId="Heading4Char">
    <w:name w:val="Heading 4 Char"/>
    <w:link w:val="Heading4"/>
    <w:rsid w:val="006B0575"/>
    <w:rPr>
      <w:rFonts w:ascii="Open Sans" w:eastAsia="Times New Roman" w:hAnsi="Open Sans" w:cs="Open Sans"/>
      <w:b/>
      <w:bCs/>
      <w:sz w:val="24"/>
      <w:szCs w:val="24"/>
    </w:rPr>
  </w:style>
  <w:style w:type="paragraph" w:customStyle="1" w:styleId="TableParagraph">
    <w:name w:val="Table Paragraph"/>
    <w:basedOn w:val="Normal"/>
    <w:rsid w:val="006B0575"/>
    <w:pPr>
      <w:widowControl w:val="0"/>
      <w:autoSpaceDE w:val="0"/>
      <w:autoSpaceDN w:val="0"/>
      <w:adjustRightInd w:val="0"/>
      <w:ind w:left="120"/>
    </w:pPr>
    <w:rPr>
      <w:rFonts w:ascii="Open Sans" w:eastAsia="Times New Roman" w:hAnsi="Open Sans" w:cs="Open Sans"/>
      <w:sz w:val="24"/>
      <w:szCs w:val="24"/>
      <w:lang w:eastAsia="en-GB"/>
    </w:rPr>
  </w:style>
  <w:style w:type="character" w:styleId="UnresolvedMention">
    <w:name w:val="Unresolved Mention"/>
    <w:uiPriority w:val="99"/>
    <w:semiHidden/>
    <w:unhideWhenUsed/>
    <w:rsid w:val="0048199D"/>
    <w:rPr>
      <w:color w:val="605E5C"/>
      <w:shd w:val="clear" w:color="auto" w:fill="E1DFDD"/>
    </w:rPr>
  </w:style>
  <w:style w:type="numbering" w:customStyle="1" w:styleId="CurrentList1">
    <w:name w:val="Current List1"/>
    <w:uiPriority w:val="99"/>
    <w:rsid w:val="00035A19"/>
    <w:pPr>
      <w:numPr>
        <w:numId w:val="9"/>
      </w:numPr>
    </w:pPr>
  </w:style>
  <w:style w:type="paragraph" w:customStyle="1" w:styleId="Normal4">
    <w:name w:val="Normal4"/>
    <w:qFormat/>
    <w:rsid w:val="007D49BB"/>
    <w:rPr>
      <w:rFonts w:ascii="Calibri" w:hAnsi="Calibri" w:cs="Calibri"/>
      <w:sz w:val="22"/>
      <w:szCs w:val="22"/>
    </w:rPr>
  </w:style>
  <w:style w:type="table" w:customStyle="1" w:styleId="RCOT-TableColour">
    <w:name w:val="RCOT - Table Colour"/>
    <w:basedOn w:val="TableNormal"/>
    <w:uiPriority w:val="99"/>
    <w:rsid w:val="00867766"/>
    <w:rPr>
      <w:rFonts w:asciiTheme="minorHAnsi" w:eastAsiaTheme="minorHAnsi" w:hAnsiTheme="minorHAnsi" w:cstheme="minorBidi"/>
      <w:sz w:val="22"/>
      <w:szCs w:val="22"/>
      <w:lang w:val="en-US"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44546A" w:themeFill="text2"/>
      </w:tcPr>
    </w:tblStylePr>
    <w:tblStylePr w:type="band2Horz">
      <w:tblPr/>
      <w:tcPr>
        <w:shd w:val="clear" w:color="auto" w:fill="FFC000"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t.co.uk/innovation-hub"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ot.co.uk/practice-resources/rcot-practice-guidelin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rcot.co.uk/practice-resources/rcot-practice-guidelin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ractice-resources/rcot-practice-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SharedWithUsers xmlns="bcca6526-e802-4175-b949-1c7e3f94d86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81ce29c664c73846b3dfff9fefbf5455">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e6550f13854958328ffe6c06069bb8a9"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B20FD-E2E3-47F0-B313-DD34F2D37290}">
  <ds:schemaRefs>
    <ds:schemaRef ds:uri="http://schemas.microsoft.com/office/2006/metadata/longProperties"/>
  </ds:schemaRefs>
</ds:datastoreItem>
</file>

<file path=customXml/itemProps2.xml><?xml version="1.0" encoding="utf-8"?>
<ds:datastoreItem xmlns:ds="http://schemas.openxmlformats.org/officeDocument/2006/customXml" ds:itemID="{3BADF661-4997-426F-B06C-708106DE64F0}">
  <ds:schemaRefs>
    <ds:schemaRef ds:uri="http://schemas.microsoft.com/office/2006/metadata/properties"/>
    <ds:schemaRef ds:uri="http://schemas.microsoft.com/office/2006/documentManagement/types"/>
    <ds:schemaRef ds:uri="http://purl.org/dc/terms/"/>
    <ds:schemaRef ds:uri="bcca6526-e802-4175-b949-1c7e3f94d86c"/>
    <ds:schemaRef ds:uri="http://purl.org/dc/dcmitype/"/>
    <ds:schemaRef ds:uri="301bce64-ad0b-4143-877a-f6e7ccdf697d"/>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BA62F3F-3635-4C35-AA59-E96623F8E04A}">
  <ds:schemaRefs>
    <ds:schemaRef ds:uri="http://schemas.microsoft.com/sharepoint/v3/contenttype/forms"/>
  </ds:schemaRefs>
</ds:datastoreItem>
</file>

<file path=customXml/itemProps4.xml><?xml version="1.0" encoding="utf-8"?>
<ds:datastoreItem xmlns:ds="http://schemas.openxmlformats.org/officeDocument/2006/customXml" ds:itemID="{F0DAF396-67A2-4470-B45C-033B11BE7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Quick Reference Guide</vt:lpstr>
    </vt:vector>
  </TitlesOfParts>
  <Company>COT</Company>
  <LinksUpToDate>false</LinksUpToDate>
  <CharactersWithSpaces>13741</CharactersWithSpaces>
  <SharedDoc>false</SharedDoc>
  <HLinks>
    <vt:vector size="54" baseType="variant">
      <vt:variant>
        <vt:i4>4390935</vt:i4>
      </vt:variant>
      <vt:variant>
        <vt:i4>24</vt:i4>
      </vt:variant>
      <vt:variant>
        <vt:i4>0</vt:i4>
      </vt:variant>
      <vt:variant>
        <vt:i4>5</vt:i4>
      </vt:variant>
      <vt:variant>
        <vt:lpwstr>https://www1.imperial.ac.uk/resources/69CED33F-CF8D-4727-BC05-94A4885B8699/ndau2015reportv1.4.pdf</vt:lpwstr>
      </vt:variant>
      <vt:variant>
        <vt:lpwstr/>
      </vt:variant>
      <vt:variant>
        <vt:i4>6881333</vt:i4>
      </vt:variant>
      <vt:variant>
        <vt:i4>21</vt:i4>
      </vt:variant>
      <vt:variant>
        <vt:i4>0</vt:i4>
      </vt:variant>
      <vt:variant>
        <vt:i4>5</vt:i4>
      </vt:variant>
      <vt:variant>
        <vt:lpwstr>http://www.bliss.org.uk/information-for-parents</vt:lpwstr>
      </vt:variant>
      <vt:variant>
        <vt:lpwstr/>
      </vt:variant>
      <vt:variant>
        <vt:i4>3932277</vt:i4>
      </vt:variant>
      <vt:variant>
        <vt:i4>18</vt:i4>
      </vt:variant>
      <vt:variant>
        <vt:i4>0</vt:i4>
      </vt:variant>
      <vt:variant>
        <vt:i4>5</vt:i4>
      </vt:variant>
      <vt:variant>
        <vt:lpwstr>https://www.rcot.co.uk/practice-resources/rcot-practice-guidelines</vt:lpwstr>
      </vt:variant>
      <vt:variant>
        <vt:lpwstr/>
      </vt:variant>
      <vt:variant>
        <vt:i4>3932277</vt:i4>
      </vt:variant>
      <vt:variant>
        <vt:i4>15</vt:i4>
      </vt:variant>
      <vt:variant>
        <vt:i4>0</vt:i4>
      </vt:variant>
      <vt:variant>
        <vt:i4>5</vt:i4>
      </vt:variant>
      <vt:variant>
        <vt:lpwstr>https://www.rcot.co.uk/practice-resources/rcot-practice-guidelines</vt:lpwstr>
      </vt:variant>
      <vt:variant>
        <vt:lpwstr/>
      </vt:variant>
      <vt:variant>
        <vt:i4>6029395</vt:i4>
      </vt:variant>
      <vt:variant>
        <vt:i4>12</vt:i4>
      </vt:variant>
      <vt:variant>
        <vt:i4>0</vt:i4>
      </vt:variant>
      <vt:variant>
        <vt:i4>5</vt:i4>
      </vt:variant>
      <vt:variant>
        <vt:lpwstr>http://cotimprovinglives.com/</vt:lpwstr>
      </vt:variant>
      <vt:variant>
        <vt:lpwstr/>
      </vt:variant>
      <vt:variant>
        <vt:i4>6029395</vt:i4>
      </vt:variant>
      <vt:variant>
        <vt:i4>9</vt:i4>
      </vt:variant>
      <vt:variant>
        <vt:i4>0</vt:i4>
      </vt:variant>
      <vt:variant>
        <vt:i4>5</vt:i4>
      </vt:variant>
      <vt:variant>
        <vt:lpwstr>http://cotimprovinglives.com/</vt:lpwstr>
      </vt:variant>
      <vt:variant>
        <vt:lpwstr/>
      </vt:variant>
      <vt:variant>
        <vt:i4>5570645</vt:i4>
      </vt:variant>
      <vt:variant>
        <vt:i4>6</vt:i4>
      </vt:variant>
      <vt:variant>
        <vt:i4>0</vt:i4>
      </vt:variant>
      <vt:variant>
        <vt:i4>5</vt:i4>
      </vt:variant>
      <vt:variant>
        <vt:lpwstr>https://www.rcot.co.uk/about-occupational-therapy/ot-evidence-factsheets</vt:lpwstr>
      </vt:variant>
      <vt:variant>
        <vt:lpwstr/>
      </vt:variant>
      <vt:variant>
        <vt:i4>2097249</vt:i4>
      </vt:variant>
      <vt:variant>
        <vt:i4>3</vt:i4>
      </vt:variant>
      <vt:variant>
        <vt:i4>0</vt:i4>
      </vt:variant>
      <vt:variant>
        <vt:i4>5</vt:i4>
      </vt:variant>
      <vt:variant>
        <vt:lpwstr>https://www.rcot.co.uk/practice-resources/occupational-therapy-topics/outcomes-and-keeping-records</vt:lpwstr>
      </vt:variant>
      <vt:variant>
        <vt:lpwstr/>
      </vt:variant>
      <vt:variant>
        <vt:i4>3932277</vt:i4>
      </vt:variant>
      <vt:variant>
        <vt:i4>0</vt:i4>
      </vt:variant>
      <vt:variant>
        <vt:i4>0</vt:i4>
      </vt:variant>
      <vt:variant>
        <vt:i4>5</vt:i4>
      </vt:variant>
      <vt:variant>
        <vt:lpwstr>https://www.rcot.co.uk/practice-resources/rcot-practice-guidelines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dc:title>
  <dc:subject/>
  <dc:creator>msainty</dc:creator>
  <cp:keywords/>
  <cp:lastModifiedBy>Angie Thompson</cp:lastModifiedBy>
  <cp:revision>3</cp:revision>
  <cp:lastPrinted>2017-08-21T08:00:00Z</cp:lastPrinted>
  <dcterms:created xsi:type="dcterms:W3CDTF">2023-05-25T10:13:00Z</dcterms:created>
  <dcterms:modified xsi:type="dcterms:W3CDTF">2023-05-25T10:14:00Z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Angie Thompson</vt:lpwstr>
  </property>
  <property fmtid="{D5CDD505-2E9C-101B-9397-08002B2CF9AE}" pid="4" name="Order">
    <vt:lpwstr>1944200.00000000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Angie Thompson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ContentTypeId">
    <vt:lpwstr>0x0101009DF819C0103728438125F29459418C87</vt:lpwstr>
  </property>
</Properties>
</file>